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06" w:rsidRDefault="0043509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2E06" w:rsidRDefault="00742E06">
      <w:pPr>
        <w:pStyle w:val="Standard"/>
        <w:jc w:val="both"/>
        <w:rPr>
          <w:rFonts w:ascii="Calibri Light" w:hAnsi="Calibri Light"/>
          <w:b/>
          <w:bCs/>
          <w:color w:val="2A6099"/>
        </w:rPr>
      </w:pPr>
    </w:p>
    <w:p w:rsidR="00742E06" w:rsidRDefault="00742E06">
      <w:pPr>
        <w:jc w:val="center"/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742E06" w:rsidRPr="001E07E2" w:rsidRDefault="001E07E2" w:rsidP="001E07E2">
      <w:pPr>
        <w:pStyle w:val="Citazioneintensa"/>
        <w:ind w:left="426" w:right="566"/>
        <w:rPr>
          <w:rFonts w:ascii="Arial Narrow" w:hAnsi="Arial Narrow"/>
          <w:b/>
          <w:i w:val="0"/>
          <w:smallCaps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DELLE BELLE ARTI E DEL GRAND TOUR DELLA CITTÀ DI TAORMINA</w:t>
      </w:r>
    </w:p>
    <w:p w:rsidR="00742E06" w:rsidRDefault="00435097" w:rsidP="001E07E2">
      <w:pPr>
        <w:pStyle w:val="Standard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M</w:t>
      </w:r>
      <w:r>
        <w:rPr>
          <w:rFonts w:ascii="Optima" w:hAnsi="Optima"/>
          <w:b/>
          <w:bCs/>
          <w:color w:val="2A6099"/>
        </w:rPr>
        <w:t>anuale per la Protezione dei beni mobili ed immobili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</w:rPr>
        <w:t>Attività messe in campo per le richieste finalità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 xml:space="preserve">Cassetta di emergenza e deposito materiale di </w:t>
      </w:r>
      <w:r>
        <w:rPr>
          <w:rFonts w:ascii="Optima" w:hAnsi="Optima"/>
        </w:rPr>
        <w:t>emergenza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Corsi di formazione ed esercitazioni di emergenza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Coordinamento con il Piano di Protezione Civile Comunale (PPCC) E Osservazioni finali Elenco planimetrie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Registro dei beni culturali meritevoli di salvaguardia (oggetti singoli e fondi)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Scheda</w:t>
      </w:r>
      <w:r>
        <w:rPr>
          <w:rFonts w:ascii="Optima" w:hAnsi="Optima"/>
        </w:rPr>
        <w:t xml:space="preserve"> oggetto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Matrice di rischio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Matrice di misure da adottare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Schema di allarme</w:t>
      </w:r>
      <w:r w:rsidR="001E07E2">
        <w:rPr>
          <w:rFonts w:ascii="Optima" w:hAnsi="Optima"/>
        </w:rPr>
        <w:t xml:space="preserve"> </w:t>
      </w:r>
      <w:r>
        <w:rPr>
          <w:rFonts w:ascii="Optima" w:hAnsi="Optima"/>
        </w:rPr>
        <w:t>Elenco contatti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>Aree di emergenza / locali di ripiego / depositi temporanei</w:t>
      </w:r>
    </w:p>
    <w:p w:rsidR="00742E06" w:rsidRDefault="00435097">
      <w:pPr>
        <w:pStyle w:val="Standard"/>
        <w:numPr>
          <w:ilvl w:val="0"/>
          <w:numId w:val="11"/>
        </w:numPr>
        <w:jc w:val="both"/>
      </w:pPr>
      <w:r>
        <w:rPr>
          <w:rFonts w:ascii="Optima" w:hAnsi="Optima"/>
        </w:rPr>
        <w:t xml:space="preserve">Determinazione contenuti cassette di emergenza e depositi materiale di </w:t>
      </w:r>
      <w:proofErr w:type="gramStart"/>
      <w:r>
        <w:rPr>
          <w:rFonts w:ascii="Optima" w:hAnsi="Optima"/>
        </w:rPr>
        <w:t xml:space="preserve">emergenza  </w:t>
      </w:r>
      <w:r>
        <w:rPr>
          <w:rFonts w:ascii="Optima" w:hAnsi="Optima"/>
        </w:rPr>
        <w:t>Calendario</w:t>
      </w:r>
      <w:proofErr w:type="gramEnd"/>
      <w:r>
        <w:rPr>
          <w:rFonts w:ascii="Optima" w:hAnsi="Optima"/>
        </w:rPr>
        <w:t xml:space="preserve"> corsi di formazione ed esercitazioni</w:t>
      </w:r>
    </w:p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Razionale del documento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Per la pianificazione di un intervento mirato di rimozione o messa in sicurezza di beni culturali, si rende innanzitutto necessaria una valutazione e una successiva definizione di p</w:t>
      </w:r>
      <w:r>
        <w:rPr>
          <w:rFonts w:ascii="Optima" w:hAnsi="Optima"/>
        </w:rPr>
        <w:t xml:space="preserve">riorità relativamente </w:t>
      </w:r>
      <w:proofErr w:type="gramStart"/>
      <w:r>
        <w:rPr>
          <w:rFonts w:ascii="Optima" w:hAnsi="Optima"/>
        </w:rPr>
        <w:t>ai</w:t>
      </w:r>
      <w:proofErr w:type="gramEnd"/>
      <w:r>
        <w:rPr>
          <w:rFonts w:ascii="Optima" w:hAnsi="Optima"/>
        </w:rPr>
        <w:t xml:space="preserve"> oggetti e fondi in custodia, che vengono quindi trasportati fuori dalla zona di pericolo secondo un ordine di priorità.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È nostro compito stabilire valore e rilevanza dei vari manufatti e stock.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Una volta definito tale ordine, i b</w:t>
      </w:r>
      <w:r>
        <w:rPr>
          <w:rFonts w:ascii="Optima" w:hAnsi="Optima"/>
        </w:rPr>
        <w:t>eni vengono registrati su un modulo, la cosiddetta scheda di accompagnamento. In caso di rimozione, è fondamentale un procedimento coordinato.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In questo modo la squadra di emergenza creata dal Museo può allestire locali al di fuori dell’area di pericolo s</w:t>
      </w:r>
      <w:r>
        <w:rPr>
          <w:rFonts w:ascii="Optima" w:hAnsi="Optima"/>
        </w:rPr>
        <w:t>ottoposta a sbarramento, destinandoli a deposito temporaneo.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Per ricoverare in sicurezza il patrimonio artistico e culturale dopo la rimozione, il luogo di deposito (punto di raccolta temporaneo) è già stabilito, nei locali della Cisterna </w:t>
      </w:r>
      <w:proofErr w:type="gramStart"/>
      <w:r>
        <w:rPr>
          <w:rFonts w:ascii="Optima" w:hAnsi="Optima"/>
        </w:rPr>
        <w:t>Major ,</w:t>
      </w:r>
      <w:proofErr w:type="gramEnd"/>
      <w:r>
        <w:rPr>
          <w:rFonts w:ascii="Optima" w:hAnsi="Optima"/>
        </w:rPr>
        <w:t xml:space="preserve"> oggi sed</w:t>
      </w:r>
      <w:r>
        <w:rPr>
          <w:rFonts w:ascii="Optima" w:hAnsi="Optima"/>
        </w:rPr>
        <w:t>e della Biblioteca dove abbiamo previsto adeguate disposizioni di salvaguardia.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È importante tenere sempre aggiornate le schede di accompagnamento e prepararne di nuove anche in occasione di mostre o esposizioni temporanee.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Le schede sono </w:t>
      </w:r>
      <w:r>
        <w:rPr>
          <w:rFonts w:ascii="Optima" w:hAnsi="Optima"/>
        </w:rPr>
        <w:t>conservate nell’area che abbiamo definito “</w:t>
      </w:r>
      <w:proofErr w:type="spellStart"/>
      <w:r>
        <w:rPr>
          <w:rFonts w:ascii="Optima" w:hAnsi="Optima"/>
        </w:rPr>
        <w:t>Safe</w:t>
      </w:r>
      <w:proofErr w:type="spellEnd"/>
      <w:r>
        <w:rPr>
          <w:rFonts w:ascii="Optima" w:hAnsi="Optima"/>
        </w:rPr>
        <w:t xml:space="preserve"> area</w:t>
      </w:r>
      <w:proofErr w:type="gramStart"/>
      <w:r>
        <w:rPr>
          <w:rFonts w:ascii="Optima" w:hAnsi="Optima"/>
        </w:rPr>
        <w:t>”,  un</w:t>
      </w:r>
      <w:proofErr w:type="gramEnd"/>
      <w:r>
        <w:rPr>
          <w:rFonts w:ascii="Optima" w:hAnsi="Optima"/>
        </w:rPr>
        <w:t xml:space="preserve"> luogo sicuro e facilmente accessibile in caso di evento emergenziale.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Questo documento è necessario per dotare il museo di un piano di uno strumento che permetta di reagire in modo appropriato al </w:t>
      </w:r>
      <w:r>
        <w:rPr>
          <w:rFonts w:ascii="Optima" w:hAnsi="Optima"/>
        </w:rPr>
        <w:t xml:space="preserve">verificarsi di eventi dannosi e di sensibilizzare le </w:t>
      </w:r>
      <w:r>
        <w:rPr>
          <w:rFonts w:ascii="Optima" w:hAnsi="Optima"/>
        </w:rPr>
        <w:lastRenderedPageBreak/>
        <w:t>organizzazioni e le autorità competenti sui rischi in essere. È altrettanto importante mettere in contatto tra loro le istituzioni coinvolte e le organizzazioni chiamate a intervenire in caso di evento e</w:t>
      </w:r>
      <w:r>
        <w:rPr>
          <w:rFonts w:ascii="Optima" w:hAnsi="Optima"/>
        </w:rPr>
        <w:t>mergenziale.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Il Piano di emergenza per la protezione dei beni culturali verrà condiviso con la Protezione Civile per essere inserito </w:t>
      </w:r>
      <w:r>
        <w:rPr>
          <w:rFonts w:ascii="Optima" w:hAnsi="Optima"/>
        </w:rPr>
        <w:t>nel Piano di protezione civile comunale PPCC.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Il Consiglio d’Europa definisce il concetto di cultura nel modo seguente: </w:t>
      </w:r>
      <w:r>
        <w:rPr>
          <w:rFonts w:ascii="Optima" w:hAnsi="Optima"/>
        </w:rPr>
        <w:t>«Cultura è tutto ciò che consente all’individuo di orientarsi nei confronti del mondo, della società e anche del proprio patrimonio nazionale, tutto ciò che conduce l’essere umano a comprendere meglio la propria condizione per poterla eventualmente modific</w:t>
      </w:r>
      <w:r>
        <w:rPr>
          <w:rFonts w:ascii="Optima" w:hAnsi="Optima"/>
        </w:rPr>
        <w:t>are».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(</w:t>
      </w:r>
      <w:proofErr w:type="spellStart"/>
      <w:r>
        <w:rPr>
          <w:rFonts w:ascii="Optima" w:hAnsi="Optima"/>
        </w:rPr>
        <w:t>https</w:t>
      </w:r>
      <w:proofErr w:type="spellEnd"/>
      <w:r>
        <w:rPr>
          <w:rFonts w:ascii="Optima" w:hAnsi="Optima"/>
        </w:rPr>
        <w:t>://www.coe.int/</w:t>
      </w:r>
      <w:proofErr w:type="spellStart"/>
      <w:r>
        <w:rPr>
          <w:rFonts w:ascii="Optima" w:hAnsi="Optima"/>
        </w:rPr>
        <w:t>it</w:t>
      </w:r>
      <w:proofErr w:type="spellEnd"/>
      <w:r>
        <w:rPr>
          <w:rFonts w:ascii="Optima" w:hAnsi="Optima"/>
        </w:rPr>
        <w:t>/web/</w:t>
      </w:r>
      <w:proofErr w:type="spellStart"/>
      <w:r>
        <w:rPr>
          <w:rFonts w:ascii="Optima" w:hAnsi="Optima"/>
        </w:rPr>
        <w:t>portal</w:t>
      </w:r>
      <w:proofErr w:type="spellEnd"/>
      <w:r>
        <w:rPr>
          <w:rFonts w:ascii="Optima" w:hAnsi="Optima"/>
        </w:rPr>
        <w:t xml:space="preserve">/). </w:t>
      </w:r>
      <w:r>
        <w:rPr>
          <w:rFonts w:ascii="Optima" w:hAnsi="Optima"/>
        </w:rPr>
        <w:t>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1954 Convenzione dell’Aia per la protezione dei beni culturali in caso di conflitti armati. </w:t>
      </w:r>
      <w:r>
        <w:rPr>
          <w:rFonts w:ascii="Optima" w:hAnsi="Optima"/>
        </w:rPr>
        <w:t xml:space="preserve"> 1985 Convenzione di Granada per la salvaguardia del patrimonio architettonico d’Europa </w:t>
      </w:r>
      <w:r>
        <w:rPr>
          <w:rFonts w:ascii="Optima" w:hAnsi="Optima"/>
        </w:rPr>
        <w:t xml:space="preserve"> 1992 Convenzione di Malta </w:t>
      </w:r>
      <w:r>
        <w:rPr>
          <w:rFonts w:ascii="Optima" w:hAnsi="Optima"/>
        </w:rPr>
        <w:t xml:space="preserve">per la salvaguardia del patrimonio archeologico d’Europa </w:t>
      </w:r>
      <w:r>
        <w:rPr>
          <w:rFonts w:ascii="Optima" w:hAnsi="Optima"/>
        </w:rPr>
        <w:t xml:space="preserve"> 2000 Firenze: Convenzione europea del paesaggio </w:t>
      </w:r>
      <w:r>
        <w:rPr>
          <w:rFonts w:ascii="Optima" w:hAnsi="Optima"/>
        </w:rPr>
        <w:t>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2005 Convenzione quadro di Faro sul valore del patrimonio culturale in relazione alla società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Beni culturali nel Museo di Casa Cuseni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Beni cultur</w:t>
      </w:r>
      <w:r>
        <w:rPr>
          <w:rFonts w:ascii="Optima" w:hAnsi="Optima"/>
        </w:rPr>
        <w:t>ali immobili: monumenti architettonici, artistici o storici.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Beni culturali mobili; opere d’arte, manoscritti, libri (stampati) e altri oggetti d’interesse artistico, storico o archeologico, nonché biblioteche scientifiche, archivi, singoli documenti d’arc</w:t>
      </w:r>
      <w:r>
        <w:rPr>
          <w:rFonts w:ascii="Optima" w:hAnsi="Optima"/>
        </w:rPr>
        <w:t>hivio o riproduzioni dei beni sopra definiti.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Proprietà dei beni culturali; I beni culturali del Museo di Casa Cuseni sono beni di proprietà privata appartenente alla Fondazione RH Kitson e soggetto privato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Analisi dei rischi e misure di protezione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Vien</w:t>
      </w:r>
      <w:r>
        <w:rPr>
          <w:rFonts w:ascii="Optima" w:hAnsi="Optima"/>
        </w:rPr>
        <w:t>e effettuata, in primo luogo, un’analisi dei rischi relativamente ai beni culturali meritevoli di salvaguardia, con l’obiettivo di individuare i fattori di pericolo (eventi) cui essi sono esposti e creare così le condizioni preliminari per garantirne la tu</w:t>
      </w:r>
      <w:r>
        <w:rPr>
          <w:rFonts w:ascii="Optima" w:hAnsi="Optima"/>
        </w:rPr>
        <w:t>tela mediante efficaci misure di protezione e con le risorse a disposizione.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Questa prima analisi costituisce la base per il </w:t>
      </w:r>
      <w:proofErr w:type="spellStart"/>
      <w:r>
        <w:rPr>
          <w:rFonts w:ascii="Optima" w:hAnsi="Optima"/>
        </w:rPr>
        <w:t>risk</w:t>
      </w:r>
      <w:proofErr w:type="spellEnd"/>
      <w:r>
        <w:rPr>
          <w:rFonts w:ascii="Optima" w:hAnsi="Optima"/>
        </w:rPr>
        <w:t xml:space="preserve"> management, nel quale viene definita la gestione dei vari rischi.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Possono costituire una minaccia per i beni </w:t>
      </w:r>
      <w:r>
        <w:rPr>
          <w:rFonts w:ascii="Optima" w:hAnsi="Optima"/>
        </w:rPr>
        <w:t>culturali i seguenti rischi: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 incendio, compreso quello </w:t>
      </w:r>
      <w:proofErr w:type="spellStart"/>
      <w:r>
        <w:rPr>
          <w:rFonts w:ascii="Optima" w:hAnsi="Optima"/>
        </w:rPr>
        <w:t>bdel</w:t>
      </w:r>
      <w:proofErr w:type="spellEnd"/>
      <w:r>
        <w:rPr>
          <w:rFonts w:ascii="Optima" w:hAnsi="Optima"/>
        </w:rPr>
        <w:t xml:space="preserve"> Giardino Storico della Villa;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terremoto o crollo dell’edificio;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vandalismo;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incidente;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allagamento o infiltrazione d’acqua (causati, p.es., da forti piogge o dalla rottura di tubatu</w:t>
      </w:r>
      <w:r>
        <w:rPr>
          <w:rFonts w:ascii="Optima" w:hAnsi="Optima"/>
        </w:rPr>
        <w:t>re);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eventi idrogeologici (colate detritiche, esondazioni di torrenti, frane, cadute massi, valanghe);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guasto o sospensione di servizi essenziali (elettricità, acqua potabile, gas, teleriscaldamento, rete fognaria, rifiuti);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 cyber </w:t>
      </w:r>
      <w:proofErr w:type="spellStart"/>
      <w:r>
        <w:rPr>
          <w:rFonts w:ascii="Optima" w:hAnsi="Optima"/>
        </w:rPr>
        <w:t>attack</w:t>
      </w:r>
      <w:proofErr w:type="spellEnd"/>
      <w:r>
        <w:rPr>
          <w:rFonts w:ascii="Optima" w:hAnsi="Optima"/>
        </w:rPr>
        <w:t xml:space="preserve"> o sabotag</w:t>
      </w:r>
      <w:r>
        <w:rPr>
          <w:rFonts w:ascii="Optima" w:hAnsi="Optima"/>
        </w:rPr>
        <w:t>gio (attacco alle infrastrutture IT e/o alle apparecchiature di controllo o sorveglianza);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conflitti armati o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eventi NBCR, ovvero caratterizzati dalla presenza di agenti nucleari, biologici, chimici o radiologici.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I diversi pericoli possono essere m</w:t>
      </w:r>
      <w:r>
        <w:rPr>
          <w:rFonts w:ascii="Optima" w:hAnsi="Optima"/>
        </w:rPr>
        <w:t>appati in una matrice di rischio in termini di probabilità di accadimento e di entità del danno.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Importanti informazioni preliminari sui rischi idrogeologici </w:t>
      </w:r>
      <w:proofErr w:type="gramStart"/>
      <w:r>
        <w:rPr>
          <w:rFonts w:ascii="Optima" w:hAnsi="Optima"/>
        </w:rPr>
        <w:t>sono stati ricavati</w:t>
      </w:r>
      <w:proofErr w:type="gramEnd"/>
      <w:r>
        <w:rPr>
          <w:rFonts w:ascii="Optima" w:hAnsi="Optima"/>
        </w:rPr>
        <w:t xml:space="preserve"> dal Piano delle zone di pericolo (PZP) elaborato da altri Enti.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lastRenderedPageBreak/>
        <w:t xml:space="preserve">Sulla scorta </w:t>
      </w:r>
      <w:r>
        <w:rPr>
          <w:rFonts w:ascii="Optima" w:hAnsi="Optima"/>
        </w:rPr>
        <w:t>di queste verifiche, è necessario pianificare adeguate misure di protezione. In linea di massima, tali misure devono rispondere al seguente criterio di priorità: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1. misure edilizie, strutturali e di ogni altro tipo che eliminano il rischio o lo limitano a</w:t>
      </w:r>
      <w:r>
        <w:rPr>
          <w:rFonts w:ascii="Optima" w:hAnsi="Optima"/>
        </w:rPr>
        <w:t xml:space="preserve"> un livello di trascurabilità costituiscono la prima opzione;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2. misure edilizie, strutturali, organizzative e di ogni altro tipo che riducono il rischio costituiscono la seconda opzione;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3. misure che prevedono l’evacuazione/ricovero degli stock in caso d</w:t>
      </w:r>
      <w:r>
        <w:rPr>
          <w:rFonts w:ascii="Optima" w:hAnsi="Optima"/>
        </w:rPr>
        <w:t>i danni costituiscono la terza opzione.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  <w:b/>
          <w:bCs/>
          <w:color w:val="2A6099"/>
        </w:rPr>
        <w:t>Definizione di un ordine di priorità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Chi detiene o custodisce beni culturali ne determina lo status di salvaguardia e redige un corrispondente elenco.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A livello pratico, sono il tipo e l’intensità dell’emergenza n</w:t>
      </w:r>
      <w:r>
        <w:rPr>
          <w:rFonts w:ascii="Optima" w:hAnsi="Optima"/>
        </w:rPr>
        <w:t>onché il fattore tempo a determinare il numero di beni che possono essere recuperati. Per evitare che la messa in sicurezza venga effettuata in modo arbitrario, è necessario stabilire delle priorità. Il numero di recuperi è determinato dal direttore del Mu</w:t>
      </w:r>
      <w:r>
        <w:rPr>
          <w:rFonts w:ascii="Optima" w:hAnsi="Optima"/>
        </w:rPr>
        <w:t xml:space="preserve">seo che valuta il contenuto della </w:t>
      </w:r>
      <w:proofErr w:type="spellStart"/>
      <w:r>
        <w:rPr>
          <w:rFonts w:ascii="Optima" w:hAnsi="Optima"/>
        </w:rPr>
        <w:t>collezionee</w:t>
      </w:r>
      <w:proofErr w:type="spellEnd"/>
      <w:r>
        <w:rPr>
          <w:rFonts w:ascii="Optima" w:hAnsi="Optima"/>
        </w:rPr>
        <w:t xml:space="preserve"> stila un elenco di priorità. I criteri di valutazione possono variare notevolmente a seconda della funzione e degli obbiettivi dell’istituzione: un museo d’arte avrà aree di interesse principale differenti risp</w:t>
      </w:r>
      <w:r>
        <w:rPr>
          <w:rFonts w:ascii="Optima" w:hAnsi="Optima"/>
        </w:rPr>
        <w:t>etto a un archivio. Di conseguenza, la determinazione del valore storico-artistico o storico-culturale o del valore materiale è molto diversificata.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Le quattro fasi di un ordine di priorità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Stilato l’elenco di priorità, il documento viene esaminato per v</w:t>
      </w:r>
      <w:r>
        <w:rPr>
          <w:rFonts w:ascii="Optima" w:hAnsi="Optima"/>
        </w:rPr>
        <w:t>erificarne idoneità e fattibilità. Tale compito deve essere svolto da una persona chiamata a valutare complessivamente gli aspetti tecnici connessi alle numerose operazioni di messa in sicurezza.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A tale riguardo è importante tenere in considerazione i segu</w:t>
      </w:r>
      <w:r>
        <w:rPr>
          <w:rFonts w:ascii="Optima" w:hAnsi="Optima"/>
        </w:rPr>
        <w:t>enti fattori e parametri: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dimensioni e peso dei manufatti,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accessibilità,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tipo di montaggio,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stato e vulnerabilità dei beni culturali,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possibili vie di trasporto nonché dimensioni di porte e scale.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L’elenco di priorità è soggetto, </w:t>
      </w:r>
      <w:r>
        <w:rPr>
          <w:rFonts w:ascii="Optima" w:hAnsi="Optima"/>
        </w:rPr>
        <w:t xml:space="preserve">infine, a una nuova verifica sotto entrambi i profili sopra menzionati (tipo e intensità dell’emergenza e fattore tempo). Va osservato a questo proposito che complesse operazioni di recupero richiedono tempi di esecuzione maggiori, a discapito, laddove il </w:t>
      </w:r>
      <w:r>
        <w:rPr>
          <w:rFonts w:ascii="Optima" w:hAnsi="Optima"/>
        </w:rPr>
        <w:t>fattore tempo risultasse limitato, di altri beni culturali.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Al fine di garantire un rapido riconoscimento dei singoli manufatti, è necessario contrassegnare il bene indicato come prioritario con opportuni simboli.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È necessario riportare </w:t>
      </w:r>
      <w:r>
        <w:rPr>
          <w:rFonts w:ascii="Optima" w:hAnsi="Optima"/>
        </w:rPr>
        <w:t>annotazioni chiare sulle apposite planimetrie del sito e nelle cartelle di emergenza (evidenziare con colori e numeri l’ordine di priorità dei beni).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  <w:b/>
          <w:bCs/>
          <w:color w:val="2A6099"/>
        </w:rPr>
        <w:t>Creazione di una cartella di emergenza interna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La cartella di emergenza interna fornisce tutte le infor</w:t>
      </w:r>
      <w:r>
        <w:rPr>
          <w:rFonts w:ascii="Optima" w:hAnsi="Optima"/>
        </w:rPr>
        <w:t>mazioni necessarie durante e dopo un’emergenza. Contiene informazioni importanti per il personale interno, quali: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schema operativo della catena di allarme interna ed esterna</w:t>
      </w:r>
    </w:p>
    <w:p w:rsidR="00742E06" w:rsidRDefault="00435097">
      <w:pPr>
        <w:pStyle w:val="Standard"/>
        <w:jc w:val="both"/>
        <w:rPr>
          <w:rFonts w:ascii="Optima" w:hAnsi="Optima"/>
        </w:rPr>
      </w:pPr>
      <w:r>
        <w:rPr>
          <w:rFonts w:ascii="Optima" w:hAnsi="Optima"/>
        </w:rPr>
        <w:t> indicazioni di servizio,</w:t>
      </w:r>
    </w:p>
    <w:p w:rsidR="001E07E2" w:rsidRDefault="001E07E2">
      <w:pPr>
        <w:pStyle w:val="Standard"/>
        <w:jc w:val="both"/>
      </w:pPr>
    </w:p>
    <w:p w:rsidR="001E07E2" w:rsidRDefault="001E07E2">
      <w:pPr>
        <w:pStyle w:val="Standard"/>
        <w:jc w:val="both"/>
      </w:pPr>
    </w:p>
    <w:p w:rsidR="001E07E2" w:rsidRDefault="001E07E2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</w:rPr>
        <w:lastRenderedPageBreak/>
        <w:t> istruzioni per il primo soccorso di beni cultura</w:t>
      </w:r>
      <w:r>
        <w:rPr>
          <w:rFonts w:ascii="Optima" w:hAnsi="Optima"/>
        </w:rPr>
        <w:t>li,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elenchi di inventari,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elenchi di contatti/numeri telefonici</w:t>
      </w:r>
    </w:p>
    <w:p w:rsidR="00742E06" w:rsidRDefault="00435097">
      <w:pPr>
        <w:pStyle w:val="Standard"/>
        <w:jc w:val="both"/>
        <w:rPr>
          <w:rFonts w:ascii="Optima" w:hAnsi="Optima"/>
        </w:rPr>
      </w:pPr>
      <w:r>
        <w:rPr>
          <w:rFonts w:ascii="Optima" w:hAnsi="Optima"/>
        </w:rPr>
        <w:t xml:space="preserve"> planimetrie  </w:t>
      </w:r>
    </w:p>
    <w:p w:rsidR="001E07E2" w:rsidRDefault="001E07E2">
      <w:pPr>
        <w:pStyle w:val="Standard"/>
        <w:jc w:val="both"/>
      </w:pPr>
    </w:p>
    <w:p w:rsidR="001E07E2" w:rsidRDefault="00435097">
      <w:pPr>
        <w:pStyle w:val="Standard"/>
        <w:jc w:val="both"/>
        <w:rPr>
          <w:rFonts w:ascii="Optima" w:hAnsi="Optima"/>
        </w:rPr>
      </w:pPr>
      <w:r>
        <w:rPr>
          <w:rFonts w:ascii="Optima" w:hAnsi="Optima"/>
          <w:b/>
          <w:bCs/>
          <w:color w:val="2A6099"/>
        </w:rPr>
        <w:t>Contatti con forze ausiliarie esterne</w:t>
      </w:r>
      <w:r>
        <w:rPr>
          <w:rFonts w:ascii="Optima" w:hAnsi="Optima"/>
        </w:rPr>
        <w:t xml:space="preserve"> </w:t>
      </w:r>
    </w:p>
    <w:p w:rsidR="00742E06" w:rsidRPr="001E07E2" w:rsidRDefault="00435097">
      <w:pPr>
        <w:pStyle w:val="Standard"/>
        <w:jc w:val="both"/>
        <w:rPr>
          <w:rFonts w:ascii="Optima" w:hAnsi="Optima"/>
        </w:rPr>
      </w:pPr>
      <w:r w:rsidRPr="001E07E2">
        <w:rPr>
          <w:rFonts w:ascii="Optima" w:hAnsi="Optima" w:cstheme="minorHAnsi"/>
        </w:rPr>
        <w:t>I</w:t>
      </w:r>
      <w:r w:rsidRPr="001E07E2">
        <w:rPr>
          <w:rFonts w:ascii="Optima" w:hAnsi="Optima" w:cstheme="minorHAnsi"/>
        </w:rPr>
        <w:t xml:space="preserve">n </w:t>
      </w:r>
      <w:r w:rsidRPr="001E07E2">
        <w:rPr>
          <w:rFonts w:ascii="Optima" w:hAnsi="Optima"/>
        </w:rPr>
        <w:t>caso di necessità vengono attivati contatti con autorità, soccorritori esterni, organizzazioni, servizi di supporto e organi c</w:t>
      </w:r>
      <w:r w:rsidRPr="001E07E2">
        <w:rPr>
          <w:rFonts w:ascii="Optima" w:hAnsi="Optima"/>
        </w:rPr>
        <w:t>onsultivi.</w:t>
      </w:r>
    </w:p>
    <w:p w:rsidR="00742E06" w:rsidRPr="001E07E2" w:rsidRDefault="00435097">
      <w:pPr>
        <w:pStyle w:val="Standard"/>
        <w:jc w:val="both"/>
        <w:rPr>
          <w:b/>
        </w:rPr>
      </w:pPr>
      <w:r w:rsidRPr="001E07E2">
        <w:rPr>
          <w:rFonts w:ascii="Optima" w:hAnsi="Optima"/>
          <w:b/>
        </w:rPr>
        <w:t>Soggetti o organizzazioni di supporto esterni possono essere: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sindaci e sindache,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restauratori e restauratrici,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imprese di logistica,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Protezione civile,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civili,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forze dell’ordine e esercito.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Creazione di una cartella di emer</w:t>
      </w:r>
      <w:r>
        <w:rPr>
          <w:rFonts w:ascii="Optima" w:hAnsi="Optima"/>
          <w:b/>
          <w:bCs/>
          <w:color w:val="2A6099"/>
        </w:rPr>
        <w:t>genza per i Vigili del Fuoco</w:t>
      </w:r>
    </w:p>
    <w:p w:rsidR="00742E06" w:rsidRPr="001E07E2" w:rsidRDefault="00435097">
      <w:pPr>
        <w:pStyle w:val="Standard"/>
        <w:jc w:val="both"/>
        <w:rPr>
          <w:b/>
        </w:rPr>
      </w:pPr>
      <w:r w:rsidRPr="001E07E2">
        <w:rPr>
          <w:rFonts w:ascii="Optima" w:hAnsi="Optima"/>
          <w:b/>
        </w:rPr>
        <w:t>La cartella di emergenza per i Vigili del Fuoco fornisce tutte le informazioni di primaria importanza per la gestione di un intervento, quali: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schema operativo della catena di allarme esterna;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 contatto del coordinatore o </w:t>
      </w:r>
      <w:r>
        <w:rPr>
          <w:rFonts w:ascii="Optima" w:hAnsi="Optima"/>
        </w:rPr>
        <w:t>della coordinatrice delle emergenze PBC e della squadra di emergenza PBC;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schede di accompagnamento con tutte le indicazioni rilevanti ai fini della messa in sicurezza, nonché elenco di priorità;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piano di intervento per i Vigili del Fuoco;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 </w:t>
      </w:r>
      <w:r>
        <w:rPr>
          <w:rFonts w:ascii="Optima" w:hAnsi="Optima"/>
        </w:rPr>
        <w:t>istruzioni per il corretto uso dell’equipaggiamento antincendio;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indicazioni sull’ubicazione nel sito delle cassette di emergenza e, in caso di necessità, dei materiali di emergenza;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 indicazioni sull’ubicazione nel sito di aree e locali di ripiego, d</w:t>
      </w:r>
      <w:r>
        <w:rPr>
          <w:rFonts w:ascii="Optima" w:hAnsi="Optima"/>
        </w:rPr>
        <w:t xml:space="preserve">epositi temporanei.  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</w:rPr>
        <w:t>In previsione dell’evento, cartelle di emergenza, elenchi di contatti e cartelle di emergenza per i Vigili del Fuoco devono essere disponibili in formato digitale, nonché custoditi fisicamente e a portata di mano in luoghi sicuri e f</w:t>
      </w:r>
      <w:r>
        <w:rPr>
          <w:rFonts w:ascii="Optima" w:hAnsi="Optima"/>
        </w:rPr>
        <w:t>acilmente accessibili.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Aree e locali di ripiego / depositi temporanei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È opportuno stabilire aree e locali di ripiego da destinare a ricovero dei beni culturali (punto di raccolta temporaneo), a successivo sito di trasferimento, a postazioni di lavoro e,</w:t>
      </w:r>
      <w:r>
        <w:rPr>
          <w:rFonts w:ascii="Optima" w:hAnsi="Optima"/>
        </w:rPr>
        <w:t xml:space="preserve"> in caso di necessità, a centro operativo.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Cassetta di emergenza e deposito materiale di emergenza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Ogni ente o istituzione che ospita beni culturali è tenuto a dotarsi di una cassetta di emergenza adeguata alla tipologia, alla portata e alle dimensioni d</w:t>
      </w:r>
      <w:r>
        <w:rPr>
          <w:rFonts w:ascii="Optima" w:hAnsi="Optima"/>
        </w:rPr>
        <w:t>el bene. In caso di eventi dannosi e incidenti, il contenuto di questa cassetta può servire per mettere in sicurezza il luogo dell’incidente, per effettuare una sicura rimozione e il primo soccorso dei beni culturali interessati e per limitare i danni.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Si</w:t>
      </w:r>
      <w:r>
        <w:rPr>
          <w:rFonts w:ascii="Optima" w:hAnsi="Optima"/>
        </w:rPr>
        <w:t xml:space="preserve"> possono considerare i seguenti ordini di grandezza.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1. Cassetta di emergenza di piccole dimensioni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2. Cassetta di emergenza di grandi dimensioni 3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3.Deposito materiale di emergenza locale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lastRenderedPageBreak/>
        <w:t>In previsione dell’evento, le cassette di emergenza devono essere</w:t>
      </w:r>
      <w:r>
        <w:rPr>
          <w:rFonts w:ascii="Optima" w:hAnsi="Optima"/>
        </w:rPr>
        <w:t xml:space="preserve"> conservate in luoghi sicuri e facilmente raggiungibili, e i depositi materiale di emergenza essere sempre accessibili. Nei relativi piani di intervento è necessario indicarne le localizzazioni in modo chiaro e visibile a tutti.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Tali piani devono essere in</w:t>
      </w:r>
      <w:r>
        <w:rPr>
          <w:rFonts w:ascii="Optima" w:hAnsi="Optima"/>
        </w:rPr>
        <w:t>oltre a disposizione di tutti i soggetti coinvolti nell’opera di protezione beni culturali (PPCP, PPCC).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 xml:space="preserve"> Corsi di formazione ed esercitazioni di emergenza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 I corsi di formazione e le esercitazioni periodiche per il personale operativo e le unità di int</w:t>
      </w:r>
      <w:r>
        <w:rPr>
          <w:rFonts w:ascii="Optima" w:hAnsi="Optima"/>
        </w:rPr>
        <w:t>ervento sono predisposti, organizzati e condotti dal coordinatore o dalla coordinatrice delle emergenze PBC competente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Coordinamento con il Piano di protezione civile comunale (PPCC) D.11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Il Piano di emergenza per la protezione beni culturali deve </w:t>
      </w:r>
      <w:r>
        <w:rPr>
          <w:rFonts w:ascii="Optima" w:hAnsi="Optima"/>
        </w:rPr>
        <w:t>essere coordinato con il Piano di protezione civile comunale PPCC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b/>
          <w:bCs/>
          <w:color w:val="2A6099"/>
        </w:rPr>
      </w:pPr>
      <w:r>
        <w:rPr>
          <w:rFonts w:ascii="Optima" w:hAnsi="Optima"/>
          <w:b/>
          <w:bCs/>
          <w:color w:val="2A6099"/>
        </w:rPr>
        <w:t>Osservazioni finali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 xml:space="preserve"> E Il presente Manuale per la protezione dei beni culturali ha come scopo principale quello di fornire istruzioni operative per la definizione di adeguati piani di emer</w:t>
      </w:r>
      <w:r>
        <w:rPr>
          <w:rFonts w:ascii="Optima" w:hAnsi="Optima"/>
        </w:rPr>
        <w:t>genza. Un piano di emergenza deve essere parte di una visione complessiva della sicurezza all’interno del Museo. È compito essenziale dell’</w:t>
      </w:r>
      <w:proofErr w:type="spellStart"/>
      <w:r>
        <w:rPr>
          <w:rFonts w:ascii="Optima" w:hAnsi="Optima"/>
        </w:rPr>
        <w:t>stituzione</w:t>
      </w:r>
      <w:proofErr w:type="spellEnd"/>
      <w:r>
        <w:rPr>
          <w:rFonts w:ascii="Optima" w:hAnsi="Optima"/>
        </w:rPr>
        <w:t xml:space="preserve"> culturale garantire la sicurezza dei visitatori e visitatrici, del personale e degli operatori e operatric</w:t>
      </w:r>
      <w:r>
        <w:rPr>
          <w:rFonts w:ascii="Optima" w:hAnsi="Optima"/>
        </w:rPr>
        <w:t xml:space="preserve">i esterni che si trovino provvisoriamente a svolgere attività entro i suoi spazi. Allo stesso modo, da parte dell’istituzione deve essere altresì preservata la sicurezza degli edifici e dei beni mobili di pertinenza. </w:t>
      </w:r>
      <w:proofErr w:type="gramStart"/>
      <w:r>
        <w:rPr>
          <w:rFonts w:ascii="Optima" w:hAnsi="Optima"/>
        </w:rPr>
        <w:t>Essendo  l’istituzione</w:t>
      </w:r>
      <w:proofErr w:type="gramEnd"/>
      <w:r>
        <w:rPr>
          <w:rFonts w:ascii="Optima" w:hAnsi="Optima"/>
        </w:rPr>
        <w:t xml:space="preserve"> proprietaria di </w:t>
      </w:r>
      <w:r>
        <w:rPr>
          <w:rFonts w:ascii="Optima" w:hAnsi="Optima"/>
        </w:rPr>
        <w:t>beni culturali, abbiamo il compito di salvaguardare il patrimonio che ci è stato affidato e di conservarlo per le generazioni future.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Tale mandato impone elevati requisiti in termini di standard di sicurezza, nonché la competenza del personale sempre in m</w:t>
      </w:r>
      <w:r>
        <w:rPr>
          <w:rFonts w:ascii="Optima" w:hAnsi="Optima"/>
        </w:rPr>
        <w:t>ateria di sicurezza. In considerazione dei diversi ambiti di protezione.</w:t>
      </w:r>
    </w:p>
    <w:p w:rsidR="00742E06" w:rsidRDefault="00435097">
      <w:pPr>
        <w:pStyle w:val="Standard"/>
        <w:jc w:val="both"/>
      </w:pPr>
      <w:r>
        <w:rPr>
          <w:rFonts w:ascii="Optima" w:hAnsi="Optima"/>
        </w:rPr>
        <w:t>Nel piano complessivo devono essere pertanto inclusi anche la protezione antincendio dell’edificio nonché degli impianti e delle attrezzature (compresi i sistemi di condizionamento e</w:t>
      </w:r>
      <w:r>
        <w:rPr>
          <w:rFonts w:ascii="Optima" w:hAnsi="Optima"/>
        </w:rPr>
        <w:t xml:space="preserve"> di ventilazione, nonché le condutture dell’acqua), la sicurezza elettrica e tutti gli aspetti concernenti la sicurezza sul lavoro.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rPr>
          <w:rFonts w:ascii="Optima" w:hAnsi="Optima"/>
        </w:rPr>
        <w:t>Documento e finalità approvate dal Direttore del Museo il 20 Giugno 2023- Dott. Francesco Spadaro</w:t>
      </w:r>
    </w:p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742E06" w:rsidRPr="001E07E2" w:rsidRDefault="00435097">
      <w:pPr>
        <w:pStyle w:val="Standard"/>
        <w:pageBreakBefore/>
        <w:rPr>
          <w:b/>
          <w:i/>
          <w:color w:val="4472C4" w:themeColor="accent1"/>
        </w:rPr>
      </w:pPr>
      <w:r w:rsidRPr="001E07E2">
        <w:rPr>
          <w:b/>
          <w:i/>
          <w:color w:val="4472C4" w:themeColor="accent1"/>
        </w:rPr>
        <w:lastRenderedPageBreak/>
        <w:t>ADDENDA</w:t>
      </w:r>
    </w:p>
    <w:p w:rsidR="00742E06" w:rsidRDefault="00742E06">
      <w:pPr>
        <w:pStyle w:val="Standard"/>
        <w:rPr>
          <w:b/>
          <w:i/>
        </w:rPr>
      </w:pPr>
      <w:bookmarkStart w:id="0" w:name="_GoBack"/>
      <w:bookmarkEnd w:id="0"/>
    </w:p>
    <w:p w:rsidR="00742E06" w:rsidRDefault="00742E06">
      <w:pPr>
        <w:pStyle w:val="Standard"/>
        <w:rPr>
          <w:b/>
          <w:i/>
        </w:rPr>
      </w:pPr>
    </w:p>
    <w:p w:rsidR="00742E06" w:rsidRDefault="00435097">
      <w:pPr>
        <w:pStyle w:val="Standard"/>
        <w:jc w:val="both"/>
        <w:rPr>
          <w:i/>
        </w:rPr>
      </w:pPr>
      <w:r>
        <w:rPr>
          <w:i/>
        </w:rPr>
        <w:t>1. Per i Musei che desiderano conoscere quali sono gli altri musei in cui si è recato il visitatore, è possibile inserire la seguente domanda a risposta aperta:</w:t>
      </w:r>
    </w:p>
    <w:p w:rsidR="00742E06" w:rsidRDefault="00742E06">
      <w:pPr>
        <w:pStyle w:val="Standard"/>
        <w:jc w:val="both"/>
        <w:rPr>
          <w:i/>
        </w:rPr>
      </w:pP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</w:pPr>
      <w:r>
        <w:t>Quali altri musei della città ha visitato?</w:t>
      </w:r>
    </w:p>
    <w:p w:rsidR="00742E06" w:rsidRDefault="00435097">
      <w:pPr>
        <w:pStyle w:val="Standard"/>
        <w:jc w:val="both"/>
      </w:pPr>
      <w:r>
        <w:t>______________________________________________________________________________</w:t>
      </w: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i/>
        </w:rPr>
      </w:pPr>
      <w:r>
        <w:rPr>
          <w:i/>
        </w:rPr>
        <w:t>Oppure</w:t>
      </w:r>
    </w:p>
    <w:p w:rsidR="00742E06" w:rsidRDefault="00742E06">
      <w:pPr>
        <w:pStyle w:val="Standard"/>
        <w:jc w:val="both"/>
        <w:rPr>
          <w:i/>
        </w:rPr>
      </w:pPr>
    </w:p>
    <w:p w:rsidR="00742E06" w:rsidRDefault="00435097">
      <w:pPr>
        <w:pStyle w:val="Standard"/>
        <w:jc w:val="both"/>
      </w:pPr>
      <w:r>
        <w:t>Quali altri Musei del territorio ha visitato?</w:t>
      </w:r>
    </w:p>
    <w:p w:rsidR="00742E06" w:rsidRDefault="00435097">
      <w:pPr>
        <w:pStyle w:val="Standard"/>
        <w:jc w:val="both"/>
      </w:pPr>
      <w:r>
        <w:t>______________________________________________________________________________</w:t>
      </w:r>
    </w:p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jc w:val="both"/>
      </w:pPr>
    </w:p>
    <w:p w:rsidR="00742E06" w:rsidRDefault="00435097">
      <w:pPr>
        <w:pStyle w:val="Standard"/>
        <w:jc w:val="both"/>
        <w:rPr>
          <w:i/>
        </w:rPr>
      </w:pPr>
      <w:r>
        <w:rPr>
          <w:i/>
        </w:rPr>
        <w:t>La domanda può essere più specifica nel c</w:t>
      </w:r>
      <w:r>
        <w:rPr>
          <w:i/>
        </w:rPr>
        <w:t>aso in cui si desideri sapere se sono stati visitati altri Musei del sistema museale di appartenenza. In tal caso sarebbe preferibile una domanda a risposta chiusa, con l’indicazione degli altri Musei, del tipo:</w:t>
      </w:r>
    </w:p>
    <w:p w:rsidR="00742E06" w:rsidRDefault="00742E06">
      <w:pPr>
        <w:pStyle w:val="Standard"/>
        <w:jc w:val="both"/>
        <w:rPr>
          <w:i/>
        </w:rPr>
      </w:pPr>
    </w:p>
    <w:p w:rsidR="00742E06" w:rsidRDefault="00435097">
      <w:pPr>
        <w:pStyle w:val="Standard"/>
        <w:jc w:val="both"/>
      </w:pPr>
      <w:r>
        <w:t xml:space="preserve">Quali altri musei del territorio/città ha </w:t>
      </w:r>
      <w:proofErr w:type="gramStart"/>
      <w:r>
        <w:t>v</w:t>
      </w:r>
      <w:r>
        <w:t>isitato ?</w:t>
      </w:r>
      <w:proofErr w:type="gramEnd"/>
    </w:p>
    <w:p w:rsidR="00742E06" w:rsidRDefault="00742E06">
      <w:pPr>
        <w:pStyle w:val="Standard"/>
        <w:jc w:val="both"/>
      </w:pPr>
    </w:p>
    <w:tbl>
      <w:tblPr>
        <w:tblW w:w="89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236"/>
        <w:gridCol w:w="5344"/>
        <w:gridCol w:w="246"/>
        <w:gridCol w:w="124"/>
      </w:tblGrid>
      <w:tr w:rsidR="00742E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Museo 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 xml:space="preserve">                                      Museo B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Museo 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3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 xml:space="preserve">                                      Museo D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893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  <w:p w:rsidR="00742E06" w:rsidRDefault="00435097">
            <w:pPr>
              <w:pStyle w:val="Standard"/>
            </w:pPr>
            <w:r>
              <w:t xml:space="preserve">Altri (specificare) </w:t>
            </w:r>
            <w:r>
              <w:t>_________________________________________________________</w:t>
            </w:r>
          </w:p>
        </w:tc>
      </w:tr>
    </w:tbl>
    <w:p w:rsidR="00742E06" w:rsidRDefault="00742E06">
      <w:pPr>
        <w:pStyle w:val="Standard"/>
        <w:jc w:val="both"/>
      </w:pPr>
    </w:p>
    <w:p w:rsidR="00742E06" w:rsidRDefault="00742E06">
      <w:pPr>
        <w:pStyle w:val="Standard"/>
        <w:rPr>
          <w:b/>
          <w:i/>
        </w:rPr>
      </w:pPr>
    </w:p>
    <w:p w:rsidR="00742E06" w:rsidRDefault="00742E06">
      <w:pPr>
        <w:pStyle w:val="Standard"/>
        <w:rPr>
          <w:b/>
          <w:i/>
        </w:rPr>
      </w:pPr>
    </w:p>
    <w:p w:rsidR="00742E06" w:rsidRDefault="00435097">
      <w:pPr>
        <w:pStyle w:val="Standard"/>
        <w:rPr>
          <w:i/>
        </w:rPr>
      </w:pPr>
      <w:r>
        <w:rPr>
          <w:i/>
        </w:rPr>
        <w:t>2. Tra i servizi di cui si richiede il grado di soddisfazione, può essere inserito anche il seguente:</w:t>
      </w:r>
    </w:p>
    <w:p w:rsidR="00742E06" w:rsidRDefault="00742E06">
      <w:pPr>
        <w:pStyle w:val="Standard"/>
        <w:rPr>
          <w:b/>
          <w:i/>
        </w:rPr>
      </w:pP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697"/>
        <w:gridCol w:w="248"/>
        <w:gridCol w:w="1325"/>
        <w:gridCol w:w="248"/>
        <w:gridCol w:w="1455"/>
        <w:gridCol w:w="248"/>
        <w:gridCol w:w="1455"/>
        <w:gridCol w:w="251"/>
      </w:tblGrid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E06" w:rsidRDefault="00435097">
            <w:pPr>
              <w:pStyle w:val="Standard"/>
            </w:pPr>
            <w:r>
              <w:t xml:space="preserve">Servizi </w:t>
            </w:r>
            <w:proofErr w:type="gramStart"/>
            <w:r>
              <w:t xml:space="preserve">generali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Pulizia locali, guardaroba, servizi igienici…)</w:t>
            </w: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35097">
            <w:pPr>
              <w:suppressAutoHyphens w:val="0"/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163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35097">
            <w:pPr>
              <w:suppressAutoHyphens w:val="0"/>
            </w:pPr>
          </w:p>
        </w:tc>
        <w:tc>
          <w:tcPr>
            <w:tcW w:w="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24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5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</w:tr>
    </w:tbl>
    <w:p w:rsidR="00742E06" w:rsidRDefault="00742E06">
      <w:pPr>
        <w:pStyle w:val="Standard"/>
        <w:rPr>
          <w:b/>
        </w:rPr>
      </w:pPr>
    </w:p>
    <w:p w:rsidR="00742E06" w:rsidRDefault="00742E06">
      <w:pPr>
        <w:pStyle w:val="Standard"/>
        <w:rPr>
          <w:b/>
        </w:rPr>
      </w:pPr>
    </w:p>
    <w:p w:rsidR="00742E06" w:rsidRDefault="00742E06">
      <w:pPr>
        <w:pStyle w:val="Standard"/>
        <w:rPr>
          <w:b/>
        </w:rPr>
      </w:pPr>
    </w:p>
    <w:p w:rsidR="00742E06" w:rsidRDefault="00435097">
      <w:pPr>
        <w:pStyle w:val="Standard"/>
        <w:jc w:val="both"/>
        <w:rPr>
          <w:i/>
        </w:rPr>
      </w:pPr>
      <w:r>
        <w:rPr>
          <w:i/>
        </w:rPr>
        <w:t xml:space="preserve">3. Per quanto riguarda la professione, si è ritenuto preferibile non inserirla poiché il dato non sembra essere tra i più rilevanti. Per tutti i Musei che desiderano inserire questa voce nella scheda è stata comunque predisposta la relativa </w:t>
      </w:r>
      <w:proofErr w:type="gramStart"/>
      <w:r>
        <w:rPr>
          <w:i/>
        </w:rPr>
        <w:t>domanda,  da</w:t>
      </w:r>
      <w:proofErr w:type="gramEnd"/>
      <w:r>
        <w:rPr>
          <w:i/>
        </w:rPr>
        <w:t xml:space="preserve"> aggiungere dopo quella sul titolo di studio:</w:t>
      </w:r>
    </w:p>
    <w:p w:rsidR="00742E06" w:rsidRDefault="00742E06">
      <w:pPr>
        <w:pStyle w:val="Standard"/>
        <w:rPr>
          <w:b/>
          <w:i/>
        </w:rPr>
      </w:pPr>
    </w:p>
    <w:p w:rsidR="00742E06" w:rsidRDefault="00435097">
      <w:pPr>
        <w:pStyle w:val="Standard"/>
      </w:pPr>
      <w:r>
        <w:rPr>
          <w:b/>
        </w:rPr>
        <w:t>Professione:</w:t>
      </w:r>
      <w:r>
        <w:rPr>
          <w:b/>
          <w:i/>
        </w:rPr>
        <w:t xml:space="preserve">            </w:t>
      </w:r>
    </w:p>
    <w:p w:rsidR="00742E06" w:rsidRDefault="00742E06">
      <w:pPr>
        <w:pStyle w:val="Standard"/>
        <w:rPr>
          <w:i/>
        </w:rPr>
      </w:pPr>
    </w:p>
    <w:tbl>
      <w:tblPr>
        <w:tblW w:w="102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5092"/>
        <w:gridCol w:w="236"/>
        <w:gridCol w:w="4676"/>
      </w:tblGrid>
      <w:tr w:rsidR="00742E06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Dirigente, funzionario pubblico, quadro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Imprenditore, libero professionista</w:t>
            </w: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 xml:space="preserve">Lavoratore autonomo (artigiano, </w:t>
            </w:r>
            <w:proofErr w:type="gramStart"/>
            <w:r>
              <w:t>commerciante..</w:t>
            </w:r>
            <w:proofErr w:type="gramEnd"/>
            <w: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Impiegato</w:t>
            </w: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Insegnante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Operaio</w:t>
            </w: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Studente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Casalinga</w:t>
            </w: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Pensionato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7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435097">
            <w:pPr>
              <w:pStyle w:val="Standard"/>
            </w:pPr>
            <w:r>
              <w:t>Non occupato, in cerca di prima occupazione</w:t>
            </w: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</w:tr>
      <w:tr w:rsidR="00742E06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b/>
                <w:sz w:val="6"/>
                <w:szCs w:val="6"/>
              </w:rPr>
            </w:pPr>
          </w:p>
        </w:tc>
        <w:tc>
          <w:tcPr>
            <w:tcW w:w="10004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E06" w:rsidRDefault="00742E06">
            <w:pPr>
              <w:pStyle w:val="Standard"/>
              <w:snapToGrid w:val="0"/>
              <w:rPr>
                <w:sz w:val="6"/>
                <w:szCs w:val="6"/>
              </w:rPr>
            </w:pPr>
          </w:p>
          <w:p w:rsidR="00742E06" w:rsidRDefault="00435097">
            <w:pPr>
              <w:pStyle w:val="Standard"/>
            </w:pPr>
            <w:r>
              <w:t>Altro (specificare) _______________________________________________________________</w:t>
            </w:r>
          </w:p>
        </w:tc>
      </w:tr>
    </w:tbl>
    <w:p w:rsidR="00742E06" w:rsidRDefault="00742E06">
      <w:pPr>
        <w:pStyle w:val="Standard"/>
      </w:pPr>
    </w:p>
    <w:p w:rsidR="00742E06" w:rsidRDefault="00742E06">
      <w:pPr>
        <w:pStyle w:val="Standard"/>
      </w:pPr>
    </w:p>
    <w:p w:rsidR="00742E06" w:rsidRDefault="00742E06">
      <w:pPr>
        <w:pStyle w:val="Standard"/>
        <w:spacing w:line="276" w:lineRule="auto"/>
        <w:jc w:val="both"/>
        <w:rPr>
          <w:rFonts w:ascii="Calibri Light" w:hAnsi="Calibri Light"/>
          <w:b/>
          <w:bCs/>
          <w:sz w:val="20"/>
          <w:szCs w:val="20"/>
          <w:lang w:eastAsia="en-US" w:bidi="ar-SA"/>
        </w:rPr>
      </w:pPr>
    </w:p>
    <w:p w:rsidR="00742E06" w:rsidRDefault="00742E06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42E06" w:rsidRDefault="00435097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 w:cs="Tahoma"/>
          <w:sz w:val="21"/>
          <w:szCs w:val="21"/>
        </w:rPr>
        <w:t>Taormina 28 marzo 2023</w:t>
      </w:r>
    </w:p>
    <w:p w:rsidR="00742E06" w:rsidRDefault="00742E06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42E06" w:rsidRDefault="00435097">
      <w:pPr>
        <w:spacing w:line="276" w:lineRule="auto"/>
        <w:jc w:val="right"/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 xml:space="preserve">  Firmato </w:t>
      </w:r>
      <w:r>
        <w:rPr>
          <w:rFonts w:ascii="Calibri Light" w:hAnsi="Calibri Light" w:cs="Tahoma"/>
          <w:sz w:val="21"/>
          <w:szCs w:val="21"/>
        </w:rPr>
        <w:t xml:space="preserve">                                         </w:t>
      </w:r>
    </w:p>
    <w:p w:rsidR="00742E06" w:rsidRDefault="00435097">
      <w:pPr>
        <w:spacing w:line="276" w:lineRule="auto"/>
        <w:jc w:val="right"/>
        <w:rPr>
          <w:rFonts w:ascii="Calibri Light" w:hAnsi="Calibri Light"/>
        </w:rPr>
      </w:pPr>
      <w:r>
        <w:rPr>
          <w:rFonts w:ascii="Calibri Light" w:hAnsi="Calibri Light" w:cs="Tahoma"/>
          <w:sz w:val="21"/>
          <w:szCs w:val="21"/>
        </w:rPr>
        <w:t>Il rappresentante legale dell’Ente</w:t>
      </w:r>
    </w:p>
    <w:p w:rsidR="00742E06" w:rsidRDefault="00435097">
      <w:pPr>
        <w:spacing w:line="276" w:lineRule="auto"/>
        <w:jc w:val="right"/>
        <w:rPr>
          <w:rFonts w:ascii="Calibri Light" w:hAnsi="Calibri Light" w:cs="Tahoma"/>
          <w:sz w:val="21"/>
          <w:szCs w:val="21"/>
        </w:rPr>
      </w:pPr>
      <w:r>
        <w:rPr>
          <w:rFonts w:ascii="Calibri Light" w:hAnsi="Calibri Light" w:cs="Tahoma"/>
          <w:sz w:val="21"/>
          <w:szCs w:val="21"/>
        </w:rPr>
        <w:t>Dott. Francesco Spadaro</w:t>
      </w:r>
    </w:p>
    <w:p w:rsidR="00742E06" w:rsidRDefault="00742E06">
      <w:pPr>
        <w:spacing w:line="276" w:lineRule="auto"/>
        <w:jc w:val="both"/>
        <w:rPr>
          <w:rFonts w:ascii="Calibri Light" w:hAnsi="Calibri Light" w:cs="Tahoma"/>
          <w:sz w:val="21"/>
          <w:szCs w:val="21"/>
        </w:rPr>
      </w:pPr>
    </w:p>
    <w:p w:rsidR="00742E06" w:rsidRDefault="00742E06">
      <w:pPr>
        <w:widowControl/>
        <w:suppressAutoHyphens w:val="0"/>
        <w:spacing w:line="276" w:lineRule="auto"/>
        <w:jc w:val="right"/>
        <w:textAlignment w:val="auto"/>
        <w:rPr>
          <w:rFonts w:ascii="Calibri Light" w:hAnsi="Calibri Light" w:cs="Tahoma"/>
          <w:sz w:val="21"/>
          <w:szCs w:val="21"/>
        </w:rPr>
      </w:pPr>
    </w:p>
    <w:p w:rsidR="00742E06" w:rsidRDefault="00435097">
      <w:pPr>
        <w:spacing w:line="276" w:lineRule="auto"/>
        <w:jc w:val="center"/>
        <w:rPr>
          <w:rFonts w:ascii="Calibri Light" w:hAnsi="Calibri Light" w:cs="Tahoma"/>
          <w:sz w:val="20"/>
          <w:szCs w:val="20"/>
        </w:rPr>
      </w:pPr>
      <w:r>
        <w:rPr>
          <w:rFonts w:ascii="Calibri Light" w:hAnsi="Calibri Light" w:cs="Tahoma"/>
          <w:b/>
          <w:bCs/>
          <w:color w:val="3465A4"/>
          <w:sz w:val="20"/>
          <w:szCs w:val="20"/>
        </w:rPr>
        <w:t>Il documento originale, composto di una pagina, è conservato nella sede legale della Fondazione.</w:t>
      </w:r>
    </w:p>
    <w:p w:rsidR="00742E06" w:rsidRDefault="00742E06">
      <w:pPr>
        <w:spacing w:line="276" w:lineRule="auto"/>
        <w:jc w:val="both"/>
        <w:rPr>
          <w:rFonts w:ascii="Calibri Light" w:hAnsi="Calibri Light" w:cs="Tahoma"/>
          <w:b/>
          <w:bCs/>
          <w:sz w:val="20"/>
          <w:szCs w:val="20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pStyle w:val="Standard"/>
        <w:spacing w:line="276" w:lineRule="auto"/>
        <w:jc w:val="both"/>
        <w:rPr>
          <w:rFonts w:ascii="Arial, Helvetica, sans-serif" w:hAnsi="Arial, Helvetica, sans-serif" w:hint="eastAsia"/>
          <w:color w:val="888888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spacing w:line="276" w:lineRule="auto"/>
        <w:jc w:val="both"/>
        <w:rPr>
          <w:rFonts w:ascii="Garamond" w:hAnsi="Garamond" w:cs="Tahoma"/>
        </w:rPr>
      </w:pPr>
    </w:p>
    <w:p w:rsidR="00742E06" w:rsidRDefault="00742E06">
      <w:pPr>
        <w:pStyle w:val="Paragrafoelenco"/>
        <w:ind w:left="0"/>
        <w:rPr>
          <w:rFonts w:ascii="Garamond" w:hAnsi="Garamond"/>
        </w:rPr>
      </w:pPr>
    </w:p>
    <w:p w:rsidR="00742E06" w:rsidRDefault="00742E06">
      <w:pPr>
        <w:rPr>
          <w:rFonts w:ascii="Garamond" w:hAnsi="Garamond"/>
        </w:rPr>
      </w:pPr>
    </w:p>
    <w:sectPr w:rsidR="00742E06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97" w:rsidRDefault="00435097">
      <w:r>
        <w:separator/>
      </w:r>
    </w:p>
  </w:endnote>
  <w:endnote w:type="continuationSeparator" w:id="0">
    <w:p w:rsidR="00435097" w:rsidRDefault="0043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"/>
      <w:gridCol w:w="8639"/>
    </w:tblGrid>
    <w:tr w:rsidR="004C4B27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4C4B27" w:rsidRDefault="00435097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8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E07E2" w:rsidRDefault="001E07E2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</w:p>
        <w:p w:rsidR="004C4B27" w:rsidRDefault="00435097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Fondazione Robert Hawthorn Kitson_ Casa Cuseni_ Taormina</w:t>
          </w:r>
        </w:p>
        <w:p w:rsidR="004C4B27" w:rsidRDefault="00435097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 xml:space="preserve">Via </w:t>
          </w: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Leonardo da Vinci nr 5. 98039 Taormina. Tel. 0942 558111</w:t>
          </w:r>
        </w:p>
        <w:p w:rsidR="004C4B27" w:rsidRDefault="00435097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4C4B27" w:rsidRDefault="00435097">
          <w:pPr>
            <w:pStyle w:val="Pidipagina"/>
          </w:pPr>
        </w:p>
      </w:tc>
    </w:tr>
  </w:tbl>
  <w:p w:rsidR="004C4B27" w:rsidRDefault="004350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97" w:rsidRDefault="00435097">
      <w:r>
        <w:rPr>
          <w:color w:val="000000"/>
        </w:rPr>
        <w:separator/>
      </w:r>
    </w:p>
  </w:footnote>
  <w:footnote w:type="continuationSeparator" w:id="0">
    <w:p w:rsidR="00435097" w:rsidRDefault="0043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5F72"/>
    <w:multiLevelType w:val="multilevel"/>
    <w:tmpl w:val="AA1EEEB4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1D1F5827"/>
    <w:multiLevelType w:val="multilevel"/>
    <w:tmpl w:val="230279D0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228C1ED2"/>
    <w:multiLevelType w:val="multilevel"/>
    <w:tmpl w:val="4C2496E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3AD009B4"/>
    <w:multiLevelType w:val="multilevel"/>
    <w:tmpl w:val="DECCF7AA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402748AB"/>
    <w:multiLevelType w:val="multilevel"/>
    <w:tmpl w:val="187EE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10708B"/>
    <w:multiLevelType w:val="multilevel"/>
    <w:tmpl w:val="8D6865C0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6" w15:restartNumberingAfterBreak="0">
    <w:nsid w:val="43887B6B"/>
    <w:multiLevelType w:val="multilevel"/>
    <w:tmpl w:val="0F6AA312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5DE6091A"/>
    <w:multiLevelType w:val="multilevel"/>
    <w:tmpl w:val="D2742284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5EB4646D"/>
    <w:multiLevelType w:val="multilevel"/>
    <w:tmpl w:val="CB16BE8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7A416E2C"/>
    <w:multiLevelType w:val="multilevel"/>
    <w:tmpl w:val="CD84E524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0" w15:restartNumberingAfterBreak="0">
    <w:nsid w:val="7C675919"/>
    <w:multiLevelType w:val="multilevel"/>
    <w:tmpl w:val="B414E688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2E06"/>
    <w:rsid w:val="001E07E2"/>
    <w:rsid w:val="00435097"/>
    <w:rsid w:val="007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9B7A3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07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07E2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1E07E2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2023-07-01T08:26:00Z</dcterms:created>
  <dcterms:modified xsi:type="dcterms:W3CDTF">2023-07-01T08:26:00Z</dcterms:modified>
</cp:coreProperties>
</file>