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8D" w:rsidRDefault="007A298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</w:pPr>
      <w:r>
        <w:rPr>
          <w:rFonts w:ascii="Calibri Light" w:eastAsia="Didot" w:hAnsi="Calibri Light" w:cs="Didot"/>
          <w:noProof/>
          <w:color w:val="000000"/>
          <w:kern w:val="0"/>
          <w:lang w:eastAsia="it-IT" w:bidi="ar-SA"/>
        </w:rPr>
        <w:drawing>
          <wp:inline distT="0" distB="0" distL="0" distR="0">
            <wp:extent cx="1294920" cy="779040"/>
            <wp:effectExtent l="0" t="0" r="480" b="0"/>
            <wp:docPr id="1" name="Immagine 0" descr="Logo_Kitson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920" cy="779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E3F8D" w:rsidRDefault="005E3F8D">
      <w:pPr>
        <w:pStyle w:val="Standard"/>
        <w:jc w:val="both"/>
        <w:rPr>
          <w:rFonts w:ascii="Calibri Light" w:hAnsi="Calibri Light"/>
          <w:b/>
          <w:bCs/>
          <w:color w:val="2A6099"/>
        </w:rPr>
      </w:pPr>
    </w:p>
    <w:p w:rsidR="005E3F8D" w:rsidRDefault="005E3F8D">
      <w:pPr>
        <w:jc w:val="both"/>
      </w:pPr>
    </w:p>
    <w:p w:rsidR="005E3F8D" w:rsidRPr="003B2347" w:rsidRDefault="003B2347" w:rsidP="003B2347">
      <w:pPr>
        <w:pStyle w:val="Citazioneintensa"/>
        <w:rPr>
          <w:rStyle w:val="Riferimentodelicato"/>
          <w:rFonts w:ascii="Arial Narrow" w:hAnsi="Arial Narrow"/>
          <w:b/>
          <w:i w:val="0"/>
          <w:color w:val="4472C4" w:themeColor="accent1"/>
          <w:sz w:val="16"/>
          <w:szCs w:val="16"/>
        </w:rPr>
      </w:pPr>
      <w:r w:rsidRPr="003B2347">
        <w:rPr>
          <w:rStyle w:val="Riferimentodelicato"/>
          <w:rFonts w:ascii="Arial Narrow" w:hAnsi="Arial Narrow"/>
          <w:b/>
          <w:i w:val="0"/>
          <w:color w:val="4472C4" w:themeColor="accent1"/>
          <w:sz w:val="16"/>
          <w:szCs w:val="16"/>
        </w:rPr>
        <w:t>CASA CUSENI, MUSEO DELLE BELLE ARTI E DEL GRAND TOUR DELLA CITTÀ DI TAORMINA</w:t>
      </w:r>
    </w:p>
    <w:p w:rsidR="003B2347" w:rsidRDefault="003B2347">
      <w:pPr>
        <w:pStyle w:val="Standard"/>
        <w:jc w:val="both"/>
        <w:rPr>
          <w:rFonts w:ascii="Calibri Light" w:hAnsi="Calibri Light"/>
          <w:b/>
          <w:bCs/>
          <w:color w:val="2A6099"/>
          <w:sz w:val="22"/>
          <w:szCs w:val="22"/>
        </w:rPr>
      </w:pPr>
    </w:p>
    <w:p w:rsidR="003B2347" w:rsidRDefault="003B2347">
      <w:pPr>
        <w:pStyle w:val="Standard"/>
        <w:jc w:val="both"/>
        <w:rPr>
          <w:rFonts w:ascii="Calibri Light" w:hAnsi="Calibri Light"/>
          <w:b/>
          <w:bCs/>
          <w:color w:val="2A6099"/>
          <w:sz w:val="22"/>
          <w:szCs w:val="22"/>
        </w:rPr>
      </w:pPr>
    </w:p>
    <w:p w:rsidR="005E3F8D" w:rsidRPr="003B2347" w:rsidRDefault="007A298B">
      <w:pPr>
        <w:pStyle w:val="Standard"/>
        <w:jc w:val="both"/>
        <w:rPr>
          <w:rFonts w:ascii="Calibri Light" w:hAnsi="Calibri Light"/>
          <w:b/>
          <w:bCs/>
          <w:color w:val="2A6099"/>
          <w:sz w:val="28"/>
          <w:szCs w:val="28"/>
        </w:rPr>
      </w:pPr>
      <w:proofErr w:type="spellStart"/>
      <w:r w:rsidRPr="003B2347">
        <w:rPr>
          <w:rFonts w:ascii="Calibri Light" w:hAnsi="Calibri Light"/>
          <w:b/>
          <w:bCs/>
          <w:color w:val="2A6099"/>
          <w:sz w:val="28"/>
          <w:szCs w:val="28"/>
        </w:rPr>
        <w:t>Internal</w:t>
      </w:r>
      <w:proofErr w:type="spellEnd"/>
      <w:r w:rsidRPr="003B2347">
        <w:rPr>
          <w:rFonts w:ascii="Calibri Light" w:hAnsi="Calibri Light"/>
          <w:b/>
          <w:bCs/>
          <w:color w:val="2A6099"/>
          <w:sz w:val="28"/>
          <w:szCs w:val="28"/>
        </w:rPr>
        <w:t xml:space="preserve"> Auditing</w:t>
      </w:r>
    </w:p>
    <w:p w:rsidR="005E3F8D" w:rsidRDefault="005E3F8D">
      <w:pPr>
        <w:jc w:val="both"/>
        <w:rPr>
          <w:rFonts w:ascii="Calibri Light" w:hAnsi="Calibri Light"/>
          <w:b/>
          <w:bCs/>
          <w:color w:val="2A6099"/>
          <w:sz w:val="22"/>
          <w:szCs w:val="22"/>
        </w:rPr>
      </w:pP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L’</w:t>
      </w:r>
      <w:proofErr w:type="spellStart"/>
      <w:r>
        <w:rPr>
          <w:rFonts w:ascii="Calibri Light" w:hAnsi="Calibri Light"/>
          <w:sz w:val="22"/>
          <w:szCs w:val="22"/>
        </w:rPr>
        <w:t>Internal</w:t>
      </w:r>
      <w:proofErr w:type="spellEnd"/>
      <w:r>
        <w:rPr>
          <w:rFonts w:ascii="Calibri Light" w:hAnsi="Calibri Light"/>
          <w:sz w:val="22"/>
          <w:szCs w:val="22"/>
        </w:rPr>
        <w:t xml:space="preserve"> Auditing è una funzione ai fini di una corretta corporate </w:t>
      </w:r>
      <w:proofErr w:type="spellStart"/>
      <w:r>
        <w:rPr>
          <w:rFonts w:ascii="Calibri Light" w:hAnsi="Calibri Light"/>
          <w:sz w:val="22"/>
          <w:szCs w:val="22"/>
        </w:rPr>
        <w:t>governance</w:t>
      </w:r>
      <w:proofErr w:type="spellEnd"/>
      <w:r>
        <w:rPr>
          <w:rFonts w:ascii="Calibri Light" w:hAnsi="Calibri Light"/>
          <w:sz w:val="22"/>
          <w:szCs w:val="22"/>
        </w:rPr>
        <w:t xml:space="preserve">, a patto però che sia letta come una funzione di </w:t>
      </w:r>
      <w:r>
        <w:rPr>
          <w:rFonts w:ascii="Calibri Light" w:hAnsi="Calibri Light"/>
          <w:sz w:val="22"/>
          <w:szCs w:val="22"/>
        </w:rPr>
        <w:t>management (approccio valutativo) e non come l’ennesima funzione di controllo, che si aggiunge a quelle già esistenti, anestetizzando gli slanci organizzativi e scatenando la rincorsa all’elusione dei controlli stessi (approccio ispettivo).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Quando i contr</w:t>
      </w:r>
      <w:r>
        <w:rPr>
          <w:rFonts w:ascii="Calibri Light" w:hAnsi="Calibri Light"/>
          <w:sz w:val="22"/>
          <w:szCs w:val="22"/>
        </w:rPr>
        <w:t xml:space="preserve">olli non sono legati ai rischi e agli obiettivi, ossia quando sono troppi e fini a </w:t>
      </w:r>
      <w:proofErr w:type="gramStart"/>
      <w:r>
        <w:rPr>
          <w:rFonts w:ascii="Calibri Light" w:hAnsi="Calibri Light"/>
          <w:sz w:val="22"/>
          <w:szCs w:val="22"/>
        </w:rPr>
        <w:t>se</w:t>
      </w:r>
      <w:proofErr w:type="gramEnd"/>
      <w:r>
        <w:rPr>
          <w:rFonts w:ascii="Calibri Light" w:hAnsi="Calibri Light"/>
          <w:sz w:val="22"/>
          <w:szCs w:val="22"/>
        </w:rPr>
        <w:t xml:space="preserve"> stessi, si scivola nella burocrazia. Se i controlli sono troppo pochi rispetto ai rischi da presidiare, si rischia, al contrario, l’inefficienza.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Una visione moderna del</w:t>
      </w:r>
      <w:r>
        <w:rPr>
          <w:rFonts w:ascii="Calibri Light" w:hAnsi="Calibri Light"/>
          <w:sz w:val="22"/>
          <w:szCs w:val="22"/>
        </w:rPr>
        <w:t>l’</w:t>
      </w:r>
      <w:proofErr w:type="spellStart"/>
      <w:r>
        <w:rPr>
          <w:rFonts w:ascii="Calibri Light" w:hAnsi="Calibri Light"/>
          <w:sz w:val="22"/>
          <w:szCs w:val="22"/>
        </w:rPr>
        <w:t>Internal</w:t>
      </w:r>
      <w:proofErr w:type="spellEnd"/>
      <w:r>
        <w:rPr>
          <w:rFonts w:ascii="Calibri Light" w:hAnsi="Calibri Light"/>
          <w:sz w:val="22"/>
          <w:szCs w:val="22"/>
        </w:rPr>
        <w:t xml:space="preserve"> Auditing è certamente quella legata al presidio dei controlli, ma sempre con un’attenzione precisa alle esigenze e non soltanto alle norme, con un approccio flessibile, che consenta di tenere alta la guardia sui rischi potenziali, quelli che si </w:t>
      </w:r>
      <w:r>
        <w:rPr>
          <w:rFonts w:ascii="Calibri Light" w:hAnsi="Calibri Light"/>
          <w:sz w:val="22"/>
          <w:szCs w:val="22"/>
        </w:rPr>
        <w:t>intuiscono, che non sono ancora in catalogo e dei quali non si conoscono bene né gli elementi scatenanti né le possibili conseguenze.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In linea con gli Standard della professione, il processo di Audit è una sequenza coordinata di attività a valore aggiunto </w:t>
      </w:r>
      <w:r>
        <w:rPr>
          <w:rFonts w:ascii="Calibri Light" w:hAnsi="Calibri Light"/>
          <w:sz w:val="22"/>
          <w:szCs w:val="22"/>
        </w:rPr>
        <w:t>che trae origine da una fase di pianificazione degli interventi e si conclude con la verifica che le raccomandazioni proposte per il superamento delle criticità accertate siano state correttamente attuate dal management interessato.</w:t>
      </w:r>
    </w:p>
    <w:p w:rsidR="005E3F8D" w:rsidRPr="003B2347" w:rsidRDefault="007A298B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  <w:r w:rsidRPr="003B2347">
        <w:rPr>
          <w:rFonts w:ascii="Calibri Light" w:hAnsi="Calibri Light"/>
          <w:b/>
          <w:sz w:val="22"/>
          <w:szCs w:val="22"/>
        </w:rPr>
        <w:t>Il processo è articola</w:t>
      </w:r>
      <w:r w:rsidRPr="003B2347">
        <w:rPr>
          <w:rFonts w:ascii="Calibri Light" w:hAnsi="Calibri Light"/>
          <w:b/>
          <w:sz w:val="22"/>
          <w:szCs w:val="22"/>
        </w:rPr>
        <w:t>to nella seguente sequenza: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• Individuazione dell’universo di Audit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• Valutazione del rischio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• Predisposizione del Piano di Audit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• Approvazione del Piano di Audit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• Assegnazione dell’incarico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• Ricognizione preliminare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• Programma di Audit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• </w:t>
      </w:r>
      <w:r>
        <w:rPr>
          <w:rFonts w:ascii="Calibri Light" w:hAnsi="Calibri Light"/>
          <w:sz w:val="22"/>
          <w:szCs w:val="22"/>
        </w:rPr>
        <w:t>Riunione di apertura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• Esecuzione dell’incarico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• Riunione di chiusura dell’Audit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• Rapporto di Audit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• Monitoraggio delle azioni correttive (follow-up) Tanto più un’amministrazione sarà in grado di puntare sull’innovazione, tanto più dovrà </w:t>
      </w:r>
      <w:r>
        <w:rPr>
          <w:rFonts w:ascii="Calibri Light" w:hAnsi="Calibri Light"/>
          <w:sz w:val="22"/>
          <w:szCs w:val="22"/>
        </w:rPr>
        <w:t>essere in grado di saper coniugare variabili organizzative.</w:t>
      </w:r>
    </w:p>
    <w:p w:rsidR="005E3F8D" w:rsidRDefault="005E3F8D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5E3F8D" w:rsidRDefault="005E3F8D">
      <w:pPr>
        <w:pStyle w:val="Standard"/>
        <w:jc w:val="both"/>
        <w:rPr>
          <w:rFonts w:ascii="Calibri Light" w:hAnsi="Calibri Light"/>
          <w:b/>
          <w:bCs/>
          <w:color w:val="2A6099"/>
          <w:sz w:val="22"/>
          <w:szCs w:val="22"/>
        </w:rPr>
      </w:pPr>
    </w:p>
    <w:p w:rsidR="005E3F8D" w:rsidRDefault="005E3F8D">
      <w:pPr>
        <w:pStyle w:val="Standard"/>
        <w:jc w:val="both"/>
        <w:rPr>
          <w:rFonts w:ascii="Calibri Light" w:hAnsi="Calibri Light"/>
          <w:b/>
          <w:bCs/>
          <w:color w:val="2A6099"/>
          <w:sz w:val="22"/>
          <w:szCs w:val="22"/>
        </w:rPr>
      </w:pPr>
    </w:p>
    <w:p w:rsidR="005E3F8D" w:rsidRDefault="005E3F8D">
      <w:pPr>
        <w:pStyle w:val="Standard"/>
        <w:jc w:val="both"/>
        <w:rPr>
          <w:rFonts w:ascii="Calibri Light" w:hAnsi="Calibri Light"/>
          <w:b/>
          <w:bCs/>
          <w:color w:val="2A6099"/>
          <w:sz w:val="22"/>
          <w:szCs w:val="22"/>
        </w:rPr>
      </w:pPr>
    </w:p>
    <w:p w:rsidR="005E3F8D" w:rsidRDefault="005E3F8D">
      <w:pPr>
        <w:pStyle w:val="Standard"/>
        <w:jc w:val="both"/>
        <w:rPr>
          <w:rFonts w:ascii="Calibri Light" w:hAnsi="Calibri Light"/>
          <w:b/>
          <w:bCs/>
          <w:color w:val="2A6099"/>
          <w:sz w:val="22"/>
          <w:szCs w:val="22"/>
        </w:rPr>
      </w:pPr>
    </w:p>
    <w:p w:rsidR="005E3F8D" w:rsidRDefault="005E3F8D">
      <w:pPr>
        <w:pStyle w:val="Standard"/>
        <w:jc w:val="both"/>
        <w:rPr>
          <w:rFonts w:ascii="Calibri Light" w:hAnsi="Calibri Light"/>
          <w:b/>
          <w:bCs/>
          <w:color w:val="2A6099"/>
          <w:sz w:val="22"/>
          <w:szCs w:val="22"/>
        </w:rPr>
      </w:pPr>
    </w:p>
    <w:p w:rsidR="005E3F8D" w:rsidRDefault="005E3F8D">
      <w:pPr>
        <w:pStyle w:val="Standard"/>
        <w:jc w:val="both"/>
        <w:rPr>
          <w:rFonts w:ascii="Calibri Light" w:hAnsi="Calibri Light"/>
          <w:b/>
          <w:bCs/>
          <w:color w:val="2A6099"/>
          <w:sz w:val="22"/>
          <w:szCs w:val="22"/>
        </w:rPr>
      </w:pPr>
    </w:p>
    <w:p w:rsidR="005E3F8D" w:rsidRDefault="005E3F8D">
      <w:pPr>
        <w:pStyle w:val="Standard"/>
        <w:jc w:val="both"/>
        <w:rPr>
          <w:rFonts w:ascii="Calibri Light" w:hAnsi="Calibri Light"/>
          <w:b/>
          <w:bCs/>
          <w:color w:val="2A6099"/>
          <w:sz w:val="22"/>
          <w:szCs w:val="22"/>
        </w:rPr>
      </w:pPr>
    </w:p>
    <w:p w:rsidR="005E3F8D" w:rsidRDefault="005E3F8D">
      <w:pPr>
        <w:pStyle w:val="Standard"/>
        <w:jc w:val="both"/>
        <w:rPr>
          <w:rFonts w:ascii="Calibri Light" w:hAnsi="Calibri Light"/>
          <w:b/>
          <w:bCs/>
          <w:color w:val="2A6099"/>
          <w:sz w:val="22"/>
          <w:szCs w:val="22"/>
        </w:rPr>
      </w:pPr>
    </w:p>
    <w:p w:rsidR="005E3F8D" w:rsidRDefault="005E3F8D">
      <w:pPr>
        <w:pStyle w:val="Standard"/>
        <w:jc w:val="both"/>
        <w:rPr>
          <w:rFonts w:ascii="Calibri Light" w:hAnsi="Calibri Light"/>
          <w:b/>
          <w:bCs/>
          <w:color w:val="2A6099"/>
          <w:sz w:val="22"/>
          <w:szCs w:val="22"/>
        </w:rPr>
      </w:pPr>
    </w:p>
    <w:p w:rsidR="005E3F8D" w:rsidRDefault="005E3F8D">
      <w:pPr>
        <w:pStyle w:val="Standard"/>
        <w:jc w:val="both"/>
        <w:rPr>
          <w:rFonts w:ascii="Calibri Light" w:hAnsi="Calibri Light"/>
          <w:b/>
          <w:bCs/>
          <w:color w:val="2A6099"/>
          <w:sz w:val="22"/>
          <w:szCs w:val="22"/>
        </w:rPr>
      </w:pPr>
    </w:p>
    <w:p w:rsidR="005E3F8D" w:rsidRDefault="005E3F8D">
      <w:pPr>
        <w:pStyle w:val="Standard"/>
        <w:jc w:val="both"/>
        <w:rPr>
          <w:rFonts w:ascii="Calibri Light" w:hAnsi="Calibri Light"/>
          <w:b/>
          <w:bCs/>
          <w:color w:val="2A6099"/>
          <w:sz w:val="22"/>
          <w:szCs w:val="22"/>
        </w:rPr>
      </w:pPr>
    </w:p>
    <w:p w:rsidR="005E3F8D" w:rsidRDefault="007A298B">
      <w:pPr>
        <w:pStyle w:val="Standard"/>
        <w:jc w:val="both"/>
        <w:rPr>
          <w:rFonts w:ascii="Calibri Light" w:hAnsi="Calibri Light"/>
          <w:b/>
          <w:bCs/>
          <w:color w:val="2A6099"/>
          <w:sz w:val="22"/>
          <w:szCs w:val="22"/>
        </w:rPr>
      </w:pPr>
      <w:r>
        <w:rPr>
          <w:rFonts w:ascii="Calibri Light" w:hAnsi="Calibri Light"/>
          <w:b/>
          <w:bCs/>
          <w:color w:val="2A6099"/>
          <w:sz w:val="22"/>
          <w:szCs w:val="22"/>
        </w:rPr>
        <w:t xml:space="preserve">La formazione in </w:t>
      </w:r>
      <w:proofErr w:type="spellStart"/>
      <w:r>
        <w:rPr>
          <w:rFonts w:ascii="Calibri Light" w:hAnsi="Calibri Light"/>
          <w:b/>
          <w:bCs/>
          <w:color w:val="2A6099"/>
          <w:sz w:val="22"/>
          <w:szCs w:val="22"/>
        </w:rPr>
        <w:t>house</w:t>
      </w:r>
      <w:proofErr w:type="spellEnd"/>
      <w:r>
        <w:rPr>
          <w:rFonts w:ascii="Calibri Light" w:hAnsi="Calibri Light"/>
          <w:b/>
          <w:bCs/>
          <w:color w:val="2A6099"/>
          <w:sz w:val="22"/>
          <w:szCs w:val="22"/>
        </w:rPr>
        <w:t xml:space="preserve"> sull’</w:t>
      </w:r>
      <w:proofErr w:type="spellStart"/>
      <w:r>
        <w:rPr>
          <w:rFonts w:ascii="Calibri Light" w:hAnsi="Calibri Light"/>
          <w:b/>
          <w:bCs/>
          <w:color w:val="2A6099"/>
          <w:sz w:val="22"/>
          <w:szCs w:val="22"/>
        </w:rPr>
        <w:t>Internal</w:t>
      </w:r>
      <w:proofErr w:type="spellEnd"/>
      <w:r>
        <w:rPr>
          <w:rFonts w:ascii="Calibri Light" w:hAnsi="Calibri Light"/>
          <w:b/>
          <w:bCs/>
          <w:color w:val="2A6099"/>
          <w:sz w:val="22"/>
          <w:szCs w:val="22"/>
        </w:rPr>
        <w:t xml:space="preserve"> Auditing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La globalizzazione e i continui avanzamenti tecnologici influiscono sul modo in cui si pensa ai propri modelli di business e alla gestion</w:t>
      </w:r>
      <w:r>
        <w:rPr>
          <w:rFonts w:ascii="Calibri Light" w:hAnsi="Calibri Light"/>
          <w:sz w:val="22"/>
          <w:szCs w:val="22"/>
        </w:rPr>
        <w:t>e del rischio.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Il management è sempre più focalizzato sul concetto di rischio di business e sulla necessità di un approccio unificato.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Per quanto riguarda le azioni di “Formazione del personale”, in un momento di scarsità di risorse economiche appare quan</w:t>
      </w:r>
      <w:r>
        <w:rPr>
          <w:rFonts w:ascii="Calibri Light" w:hAnsi="Calibri Light"/>
          <w:sz w:val="22"/>
          <w:szCs w:val="22"/>
        </w:rPr>
        <w:t>to meno indispensabile saper indirizzare e sfruttare al meglio le risorse per la formazione oggi a disposizione, nonché saper individuare fonti di finanziamento esterne per l’attivazione di percorsi formativi cofinanziati. Il tutto visto in un’ottica di te</w:t>
      </w:r>
      <w:r>
        <w:rPr>
          <w:rFonts w:ascii="Calibri Light" w:hAnsi="Calibri Light"/>
          <w:sz w:val="22"/>
          <w:szCs w:val="22"/>
        </w:rPr>
        <w:t>ndenziale raggruppamento della singola attività di “formazione del personale”, in una complessiva e più funzionale politica di “gestione delle risorse umane”.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Quanto tempo intercorre tra l’avvio del processo di formulazione del Piano formativo e la sua ap</w:t>
      </w:r>
      <w:r>
        <w:rPr>
          <w:rFonts w:ascii="Calibri Light" w:hAnsi="Calibri Light"/>
          <w:sz w:val="22"/>
          <w:szCs w:val="22"/>
        </w:rPr>
        <w:t xml:space="preserve">provazione formale da parte del </w:t>
      </w:r>
      <w:proofErr w:type="spellStart"/>
      <w:r>
        <w:rPr>
          <w:rFonts w:ascii="Calibri Light" w:hAnsi="Calibri Light"/>
          <w:sz w:val="22"/>
          <w:szCs w:val="22"/>
        </w:rPr>
        <w:t>CdA</w:t>
      </w:r>
      <w:proofErr w:type="spellEnd"/>
      <w:r>
        <w:rPr>
          <w:rFonts w:ascii="Calibri Light" w:hAnsi="Calibri Light"/>
          <w:sz w:val="22"/>
          <w:szCs w:val="22"/>
        </w:rPr>
        <w:t>?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Abbiamo mappato diverse tipologie di corsi da effettuare e ci siamo resi conto che possiamo raggiungere l’obiettivo solo trovando dei partner (</w:t>
      </w:r>
      <w:proofErr w:type="spellStart"/>
      <w:r>
        <w:rPr>
          <w:rFonts w:ascii="Calibri Light" w:hAnsi="Calibri Light"/>
          <w:sz w:val="22"/>
          <w:szCs w:val="22"/>
        </w:rPr>
        <w:t>Associzioni</w:t>
      </w:r>
      <w:proofErr w:type="spellEnd"/>
      <w:r>
        <w:rPr>
          <w:rFonts w:ascii="Calibri Light" w:hAnsi="Calibri Light"/>
          <w:sz w:val="22"/>
          <w:szCs w:val="22"/>
        </w:rPr>
        <w:t xml:space="preserve">, </w:t>
      </w:r>
      <w:proofErr w:type="spellStart"/>
      <w:r>
        <w:rPr>
          <w:rFonts w:ascii="Calibri Light" w:hAnsi="Calibri Light"/>
          <w:sz w:val="22"/>
          <w:szCs w:val="22"/>
        </w:rPr>
        <w:t>StakeHolder</w:t>
      </w:r>
      <w:proofErr w:type="spellEnd"/>
      <w:r>
        <w:rPr>
          <w:rFonts w:ascii="Calibri Light" w:hAnsi="Calibri Light"/>
          <w:sz w:val="22"/>
          <w:szCs w:val="22"/>
        </w:rPr>
        <w:t>) che possono formare il nostro personale.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Abbiamo </w:t>
      </w:r>
      <w:r>
        <w:rPr>
          <w:rFonts w:ascii="Calibri Light" w:hAnsi="Calibri Light"/>
          <w:sz w:val="22"/>
          <w:szCs w:val="22"/>
        </w:rPr>
        <w:t>pertanto deliberato di procedere a questa maniera.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Questo processo di valutazione permetterebbe, inoltre, di valutare l’impatto dei processi formativi sulla qualità dell’attività lavorativa. A tal proposito, si ricorda che le questioni connesse alle politi</w:t>
      </w:r>
      <w:r>
        <w:rPr>
          <w:rFonts w:ascii="Calibri Light" w:hAnsi="Calibri Light"/>
          <w:sz w:val="22"/>
          <w:szCs w:val="22"/>
        </w:rPr>
        <w:t>che formative sono state segnalate, tra gli aspetti critici, dal personale rispondente all’indagine sul benessere organizzativo.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Un secondo aspetto importante è connesso all’utilizzo della formazione come leva per premiare i dipendenti più meritevoli e a </w:t>
      </w:r>
      <w:r>
        <w:rPr>
          <w:rFonts w:ascii="Calibri Light" w:hAnsi="Calibri Light"/>
          <w:sz w:val="22"/>
          <w:szCs w:val="22"/>
        </w:rPr>
        <w:t>più alto potenziale qualitativo. Il concetto di fondo</w:t>
      </w:r>
      <w:r w:rsidR="003B2347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è quello di riuscire a utilizzare la formazione come “premio” per i dipendenti; ma ciò comporta necessariamente un’attenta individuazione e selezione dei più meritevoli e capaci. Questi processi selettiv</w:t>
      </w:r>
      <w:r>
        <w:rPr>
          <w:rFonts w:ascii="Calibri Light" w:hAnsi="Calibri Light"/>
          <w:sz w:val="22"/>
          <w:szCs w:val="22"/>
        </w:rPr>
        <w:t xml:space="preserve">i potrebbero avere ricadute positive anche in termini di sperimentazione di strumenti di </w:t>
      </w:r>
      <w:proofErr w:type="spellStart"/>
      <w:r>
        <w:rPr>
          <w:rFonts w:ascii="Calibri Light" w:hAnsi="Calibri Light"/>
          <w:sz w:val="22"/>
          <w:szCs w:val="22"/>
        </w:rPr>
        <w:t>premialità</w:t>
      </w:r>
      <w:proofErr w:type="spellEnd"/>
      <w:r>
        <w:rPr>
          <w:rFonts w:ascii="Calibri Light" w:hAnsi="Calibri Light"/>
          <w:sz w:val="22"/>
          <w:szCs w:val="22"/>
        </w:rPr>
        <w:t>, in particolare per quanto concerne accessi a percorsi di alta formazione e di crescita professionale.</w:t>
      </w:r>
    </w:p>
    <w:p w:rsidR="005E3F8D" w:rsidRDefault="005E3F8D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p w:rsidR="005E3F8D" w:rsidRDefault="005E3F8D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3B2347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Documento e finalità approvate dal </w:t>
      </w:r>
      <w:r>
        <w:rPr>
          <w:rFonts w:ascii="Calibri Light" w:hAnsi="Calibri Light"/>
          <w:sz w:val="22"/>
          <w:szCs w:val="22"/>
        </w:rPr>
        <w:t xml:space="preserve">Direttore del Museo </w:t>
      </w:r>
    </w:p>
    <w:p w:rsidR="005E3F8D" w:rsidRDefault="007A298B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il 20 Giugno 2023- Dott. Francesco Spadaro</w:t>
      </w:r>
    </w:p>
    <w:p w:rsidR="005E3F8D" w:rsidRDefault="005E3F8D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5E3F8D" w:rsidRDefault="005E3F8D">
      <w:pPr>
        <w:pStyle w:val="Standard"/>
        <w:jc w:val="both"/>
      </w:pPr>
    </w:p>
    <w:p w:rsidR="005E3F8D" w:rsidRDefault="005E3F8D">
      <w:pPr>
        <w:pStyle w:val="Standard"/>
        <w:jc w:val="both"/>
      </w:pPr>
    </w:p>
    <w:p w:rsidR="005E3F8D" w:rsidRDefault="005E3F8D">
      <w:pPr>
        <w:pStyle w:val="Standard"/>
        <w:jc w:val="both"/>
      </w:pPr>
    </w:p>
    <w:p w:rsidR="005E3F8D" w:rsidRDefault="005E3F8D">
      <w:pPr>
        <w:pStyle w:val="Standard"/>
        <w:jc w:val="both"/>
      </w:pPr>
      <w:bookmarkStart w:id="0" w:name="_GoBack"/>
      <w:bookmarkEnd w:id="0"/>
    </w:p>
    <w:p w:rsidR="005E3F8D" w:rsidRDefault="005E3F8D">
      <w:pPr>
        <w:pStyle w:val="Standard"/>
        <w:jc w:val="both"/>
      </w:pPr>
    </w:p>
    <w:p w:rsidR="005E3F8D" w:rsidRDefault="005E3F8D">
      <w:pPr>
        <w:pStyle w:val="Standard"/>
        <w:jc w:val="both"/>
      </w:pPr>
    </w:p>
    <w:p w:rsidR="005E3F8D" w:rsidRDefault="005E3F8D">
      <w:pPr>
        <w:pStyle w:val="Standard"/>
        <w:jc w:val="both"/>
      </w:pPr>
    </w:p>
    <w:p w:rsidR="005E3F8D" w:rsidRDefault="005E3F8D">
      <w:pPr>
        <w:pStyle w:val="Standard"/>
        <w:jc w:val="both"/>
      </w:pPr>
    </w:p>
    <w:p w:rsidR="005E3F8D" w:rsidRDefault="005E3F8D">
      <w:pPr>
        <w:pStyle w:val="Standard"/>
        <w:jc w:val="both"/>
      </w:pPr>
    </w:p>
    <w:p w:rsidR="005E3F8D" w:rsidRDefault="005E3F8D">
      <w:pPr>
        <w:pStyle w:val="Standard"/>
        <w:jc w:val="both"/>
      </w:pPr>
    </w:p>
    <w:p w:rsidR="005E3F8D" w:rsidRDefault="005E3F8D">
      <w:pPr>
        <w:pStyle w:val="Standard"/>
        <w:jc w:val="both"/>
      </w:pPr>
    </w:p>
    <w:p w:rsidR="005E3F8D" w:rsidRDefault="005E3F8D">
      <w:pPr>
        <w:pStyle w:val="Standard"/>
        <w:jc w:val="both"/>
      </w:pPr>
    </w:p>
    <w:p w:rsidR="005E3F8D" w:rsidRDefault="005E3F8D">
      <w:pPr>
        <w:pStyle w:val="Standard"/>
        <w:jc w:val="both"/>
      </w:pPr>
    </w:p>
    <w:p w:rsidR="005E3F8D" w:rsidRDefault="005E3F8D">
      <w:pPr>
        <w:pStyle w:val="Standard"/>
        <w:jc w:val="both"/>
        <w:rPr>
          <w:rFonts w:ascii="Calibri Light" w:hAnsi="Calibri Light"/>
          <w:b/>
          <w:sz w:val="22"/>
          <w:szCs w:val="22"/>
        </w:rPr>
      </w:pPr>
    </w:p>
    <w:sectPr w:rsidR="005E3F8D" w:rsidSect="003B2347">
      <w:footerReference w:type="default" r:id="rId8"/>
      <w:pgSz w:w="11906" w:h="16838"/>
      <w:pgMar w:top="119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8B" w:rsidRDefault="007A298B">
      <w:r>
        <w:separator/>
      </w:r>
    </w:p>
  </w:endnote>
  <w:endnote w:type="continuationSeparator" w:id="0">
    <w:p w:rsidR="007A298B" w:rsidRDefault="007A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 Helvetica, sans-serif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2"/>
    <w:family w:val="auto"/>
    <w:pitch w:val="default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9"/>
      <w:gridCol w:w="8639"/>
    </w:tblGrid>
    <w:tr w:rsidR="009B5295">
      <w:tblPrEx>
        <w:tblCellMar>
          <w:top w:w="0" w:type="dxa"/>
          <w:bottom w:w="0" w:type="dxa"/>
        </w:tblCellMar>
      </w:tblPrEx>
      <w:tc>
        <w:tcPr>
          <w:tcW w:w="999" w:type="dxa"/>
          <w:tcBorders>
            <w:top w:val="single" w:sz="18" w:space="0" w:color="808080"/>
            <w:right w:val="single" w:sz="1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9B5295" w:rsidRDefault="007A298B">
          <w:pPr>
            <w:pStyle w:val="Pidipagina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>
            <w:rPr>
              <w:b/>
              <w:color w:val="4F81BD"/>
              <w:sz w:val="32"/>
              <w:szCs w:val="32"/>
            </w:rPr>
            <w:t>4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639" w:type="dxa"/>
          <w:tcBorders>
            <w:top w:val="single" w:sz="18" w:space="0" w:color="808080"/>
            <w:left w:val="single" w:sz="18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3B2347" w:rsidRDefault="003B2347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</w:p>
        <w:p w:rsidR="009B5295" w:rsidRDefault="007A298B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>Fondazione Robert Hawthorn Kitson_ Casa Cuseni_ Taormina</w:t>
          </w:r>
        </w:p>
        <w:p w:rsidR="009B5295" w:rsidRDefault="007A298B">
          <w:pPr>
            <w:jc w:val="center"/>
            <w:rPr>
              <w:rFonts w:ascii="Calibri Light" w:hAnsi="Calibri Light"/>
              <w:b/>
              <w:bCs/>
              <w:color w:val="2A6099"/>
              <w:sz w:val="16"/>
              <w:szCs w:val="16"/>
            </w:rPr>
          </w:pPr>
          <w:r>
            <w:rPr>
              <w:rFonts w:ascii="Calibri Light" w:hAnsi="Calibri Light"/>
              <w:b/>
              <w:bCs/>
              <w:color w:val="2A6099"/>
              <w:sz w:val="16"/>
              <w:szCs w:val="16"/>
            </w:rPr>
            <w:t>Via Leonardo da Vinci nr 5. 98039 Taormina. Tel. 0942 558111</w:t>
          </w:r>
        </w:p>
        <w:p w:rsidR="009B5295" w:rsidRDefault="007A298B">
          <w:pPr>
            <w:jc w:val="both"/>
            <w:rPr>
              <w:rFonts w:ascii="Garamond" w:hAnsi="Garamond"/>
              <w:sz w:val="20"/>
              <w:szCs w:val="20"/>
            </w:rPr>
          </w:pPr>
        </w:p>
        <w:p w:rsidR="009B5295" w:rsidRDefault="007A298B">
          <w:pPr>
            <w:pStyle w:val="Pidipagina"/>
          </w:pPr>
        </w:p>
      </w:tc>
    </w:tr>
  </w:tbl>
  <w:p w:rsidR="009B5295" w:rsidRDefault="007A29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8B" w:rsidRDefault="007A298B">
      <w:r>
        <w:rPr>
          <w:color w:val="000000"/>
        </w:rPr>
        <w:separator/>
      </w:r>
    </w:p>
  </w:footnote>
  <w:footnote w:type="continuationSeparator" w:id="0">
    <w:p w:rsidR="007A298B" w:rsidRDefault="007A2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7A20"/>
    <w:multiLevelType w:val="multilevel"/>
    <w:tmpl w:val="DDB85BEA"/>
    <w:styleLink w:val="WWNum7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" w15:restartNumberingAfterBreak="0">
    <w:nsid w:val="1B87314E"/>
    <w:multiLevelType w:val="multilevel"/>
    <w:tmpl w:val="59AEFCC2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" w15:restartNumberingAfterBreak="0">
    <w:nsid w:val="23621F1A"/>
    <w:multiLevelType w:val="multilevel"/>
    <w:tmpl w:val="D5547FD8"/>
    <w:styleLink w:val="WWNum10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3" w15:restartNumberingAfterBreak="0">
    <w:nsid w:val="2660641B"/>
    <w:multiLevelType w:val="multilevel"/>
    <w:tmpl w:val="64581724"/>
    <w:styleLink w:val="WWNum9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4" w15:restartNumberingAfterBreak="0">
    <w:nsid w:val="29404254"/>
    <w:multiLevelType w:val="multilevel"/>
    <w:tmpl w:val="8CB45D86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5" w15:restartNumberingAfterBreak="0">
    <w:nsid w:val="2F6611CF"/>
    <w:multiLevelType w:val="multilevel"/>
    <w:tmpl w:val="BF1C358C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6" w15:restartNumberingAfterBreak="0">
    <w:nsid w:val="45C25488"/>
    <w:multiLevelType w:val="multilevel"/>
    <w:tmpl w:val="3BC43E66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7" w15:restartNumberingAfterBreak="0">
    <w:nsid w:val="4F4A2117"/>
    <w:multiLevelType w:val="multilevel"/>
    <w:tmpl w:val="3F4EEC44"/>
    <w:styleLink w:val="WWNum6"/>
    <w:lvl w:ilvl="0">
      <w:start w:val="1"/>
      <w:numFmt w:val="decimal"/>
      <w:lvlText w:val="%1"/>
      <w:lvlJc w:val="left"/>
      <w:pPr>
        <w:ind w:left="501" w:hanging="360"/>
      </w:pPr>
    </w:lvl>
    <w:lvl w:ilvl="1">
      <w:start w:val="1"/>
      <w:numFmt w:val="lowerLetter"/>
      <w:lvlText w:val="%1.%2"/>
      <w:lvlJc w:val="left"/>
      <w:pPr>
        <w:ind w:left="1581" w:hanging="360"/>
      </w:pPr>
    </w:lvl>
    <w:lvl w:ilvl="2">
      <w:start w:val="1"/>
      <w:numFmt w:val="lowerRoman"/>
      <w:lvlText w:val="%1.%2.%3"/>
      <w:lvlJc w:val="right"/>
      <w:pPr>
        <w:ind w:left="2301" w:hanging="180"/>
      </w:pPr>
    </w:lvl>
    <w:lvl w:ilvl="3">
      <w:start w:val="1"/>
      <w:numFmt w:val="decimal"/>
      <w:lvlText w:val="%1.%2.%3.%4"/>
      <w:lvlJc w:val="left"/>
      <w:pPr>
        <w:ind w:left="3021" w:hanging="360"/>
      </w:pPr>
    </w:lvl>
    <w:lvl w:ilvl="4">
      <w:start w:val="1"/>
      <w:numFmt w:val="lowerLetter"/>
      <w:lvlText w:val="%1.%2.%3.%4.%5"/>
      <w:lvlJc w:val="left"/>
      <w:pPr>
        <w:ind w:left="3741" w:hanging="360"/>
      </w:pPr>
    </w:lvl>
    <w:lvl w:ilvl="5">
      <w:start w:val="1"/>
      <w:numFmt w:val="lowerRoman"/>
      <w:lvlText w:val="%1.%2.%3.%4.%5.%6"/>
      <w:lvlJc w:val="right"/>
      <w:pPr>
        <w:ind w:left="4461" w:hanging="180"/>
      </w:pPr>
    </w:lvl>
    <w:lvl w:ilvl="6">
      <w:start w:val="1"/>
      <w:numFmt w:val="decimal"/>
      <w:lvlText w:val="%1.%2.%3.%4.%5.%6.%7"/>
      <w:lvlJc w:val="left"/>
      <w:pPr>
        <w:ind w:left="5181" w:hanging="360"/>
      </w:pPr>
    </w:lvl>
    <w:lvl w:ilvl="7">
      <w:start w:val="1"/>
      <w:numFmt w:val="lowerLetter"/>
      <w:lvlText w:val="%1.%2.%3.%4.%5.%6.%7.%8"/>
      <w:lvlJc w:val="left"/>
      <w:pPr>
        <w:ind w:left="5901" w:hanging="360"/>
      </w:pPr>
    </w:lvl>
    <w:lvl w:ilvl="8">
      <w:start w:val="1"/>
      <w:numFmt w:val="lowerRoman"/>
      <w:lvlText w:val="%1.%2.%3.%4.%5.%6.%7.%8.%9"/>
      <w:lvlJc w:val="right"/>
      <w:pPr>
        <w:ind w:left="6621" w:hanging="180"/>
      </w:pPr>
    </w:lvl>
  </w:abstractNum>
  <w:abstractNum w:abstractNumId="8" w15:restartNumberingAfterBreak="0">
    <w:nsid w:val="5CAA2D35"/>
    <w:multiLevelType w:val="multilevel"/>
    <w:tmpl w:val="EF0675FC"/>
    <w:styleLink w:val="WWNum8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9" w15:restartNumberingAfterBreak="0">
    <w:nsid w:val="5F087F23"/>
    <w:multiLevelType w:val="multilevel"/>
    <w:tmpl w:val="7DAC8FAC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3F8D"/>
    <w:rsid w:val="002F6123"/>
    <w:rsid w:val="003B2347"/>
    <w:rsid w:val="005E3F8D"/>
    <w:rsid w:val="007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149959"/>
  <w15:docId w15:val="{51D54BB9-2D40-C241-A4C6-D1CCF6E7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 w:cs="Mangal"/>
      <w:color w:val="2E74B5"/>
      <w:sz w:val="32"/>
      <w:szCs w:val="29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 w:cs="Mangal"/>
      <w:b/>
      <w:bCs/>
      <w:color w:val="4F81BD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, Helvetica, sans-serif" w:hAnsi="Arial" w:cs="Arial, Helvetica, sans-serif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fumetto">
    <w:name w:val="Balloon Text"/>
    <w:basedOn w:val="Normale"/>
    <w:rPr>
      <w:rFonts w:ascii="Tahoma" w:eastAsia="Tahoma" w:hAnsi="Tahoma" w:cs="Mangal"/>
      <w:sz w:val="16"/>
      <w:szCs w:val="14"/>
    </w:rPr>
  </w:style>
  <w:style w:type="paragraph" w:styleId="Paragrafoelenco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idipagina">
    <w:name w:val="footer"/>
    <w:basedOn w:val="Normale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ormaleWeb">
    <w:name w:val="Normal (Web)"/>
    <w:basedOn w:val="Standard"/>
    <w:pPr>
      <w:spacing w:before="100" w:after="100"/>
    </w:pPr>
    <w:rPr>
      <w:rFonts w:eastAsia="Times New Roman" w:cs="Times New Roman"/>
      <w:lang w:eastAsia="it-IT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rPr>
      <w:rFonts w:ascii="Calibri Light" w:eastAsia="Times New Roman" w:hAnsi="Calibri Light" w:cs="Mangal"/>
      <w:color w:val="2E74B5"/>
      <w:sz w:val="32"/>
      <w:szCs w:val="29"/>
    </w:rPr>
  </w:style>
  <w:style w:type="character" w:customStyle="1" w:styleId="color14">
    <w:name w:val="color_14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Titolo3Carattere">
    <w:name w:val="Titolo 3 Carattere"/>
    <w:basedOn w:val="Carpredefinitoparagrafo"/>
    <w:rPr>
      <w:rFonts w:ascii="Cambria" w:eastAsia="Times New Roman" w:hAnsi="Cambria" w:cs="Mangal"/>
      <w:b/>
      <w:bCs/>
      <w:color w:val="4F81BD"/>
      <w:szCs w:val="21"/>
    </w:r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234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2347"/>
    <w:rPr>
      <w:rFonts w:cs="Mangal"/>
      <w:i/>
      <w:iCs/>
      <w:color w:val="4472C4" w:themeColor="accent1"/>
      <w:szCs w:val="21"/>
    </w:rPr>
  </w:style>
  <w:style w:type="character" w:styleId="Enfasiintensa">
    <w:name w:val="Intense Emphasis"/>
    <w:basedOn w:val="Carpredefinitoparagrafo"/>
    <w:uiPriority w:val="21"/>
    <w:qFormat/>
    <w:rsid w:val="003B2347"/>
    <w:rPr>
      <w:i/>
      <w:iCs/>
      <w:color w:val="4472C4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B2347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2347"/>
    <w:rPr>
      <w:rFonts w:cs="Mangal"/>
      <w:i/>
      <w:iCs/>
      <w:color w:val="404040" w:themeColor="text1" w:themeTint="BF"/>
      <w:szCs w:val="21"/>
    </w:rPr>
  </w:style>
  <w:style w:type="character" w:styleId="Riferimentointenso">
    <w:name w:val="Intense Reference"/>
    <w:basedOn w:val="Carpredefinitoparagrafo"/>
    <w:uiPriority w:val="32"/>
    <w:qFormat/>
    <w:rsid w:val="003B2347"/>
    <w:rPr>
      <w:b/>
      <w:bCs/>
      <w:smallCaps/>
      <w:color w:val="4472C4" w:themeColor="accent1"/>
      <w:spacing w:val="5"/>
    </w:rPr>
  </w:style>
  <w:style w:type="character" w:styleId="Riferimentodelicato">
    <w:name w:val="Subtle Reference"/>
    <w:basedOn w:val="Carpredefinitoparagrafo"/>
    <w:uiPriority w:val="31"/>
    <w:qFormat/>
    <w:rsid w:val="003B2347"/>
    <w:rPr>
      <w:smallCaps/>
      <w:color w:val="5A5A5A" w:themeColor="text1" w:themeTint="A5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Num5">
    <w:name w:val="WWNum5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Num9">
    <w:name w:val="WWNum9"/>
    <w:basedOn w:val="Nessunelenco"/>
    <w:pPr>
      <w:numPr>
        <w:numId w:val="6"/>
      </w:numPr>
    </w:pPr>
  </w:style>
  <w:style w:type="numbering" w:customStyle="1" w:styleId="WWNum10">
    <w:name w:val="WWNum10"/>
    <w:basedOn w:val="Nessunelenco"/>
    <w:pPr>
      <w:numPr>
        <w:numId w:val="7"/>
      </w:numPr>
    </w:pPr>
  </w:style>
  <w:style w:type="numbering" w:customStyle="1" w:styleId="WWNum7">
    <w:name w:val="WWNum7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6">
    <w:name w:val="WWNum6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Archivio%20Ospedale/Downloads/Relazione%20anno%202020,%20Bilancio%20anno%202020,%20Bilancio%20di%20previsione%20anno%202021%20e%20piano%20strategico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cuseni</dc:creator>
  <cp:lastModifiedBy>Microsoft Office User</cp:lastModifiedBy>
  <cp:revision>2</cp:revision>
  <cp:lastPrinted>2022-11-18T14:53:00Z</cp:lastPrinted>
  <dcterms:created xsi:type="dcterms:W3CDTF">2023-07-01T07:29:00Z</dcterms:created>
  <dcterms:modified xsi:type="dcterms:W3CDTF">2023-07-01T07:29:00Z</dcterms:modified>
</cp:coreProperties>
</file>